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50B06DC6" w:rsidR="00EB4E25" w:rsidRPr="000141F3" w:rsidRDefault="00EB4E25" w:rsidP="00D4005F">
      <w:pPr>
        <w:pStyle w:val="Header"/>
        <w:jc w:val="both"/>
        <w:rPr>
          <w:rFonts w:eastAsia="MS Mincho" w:cs="Arial"/>
          <w:sz w:val="24"/>
        </w:rPr>
      </w:pPr>
      <w:r w:rsidRPr="000141F3">
        <w:rPr>
          <w:rFonts w:eastAsia="MS Mincho" w:cs="Arial"/>
          <w:sz w:val="24"/>
        </w:rPr>
        <w:t>3GPP TSG-RAN WG2 Meeting #12</w:t>
      </w:r>
      <w:r w:rsidR="00AA4DFA">
        <w:rPr>
          <w:rFonts w:eastAsia="MS Mincho" w:cs="Arial"/>
          <w:sz w:val="24"/>
        </w:rPr>
        <w:t>9</w:t>
      </w:r>
      <w:r w:rsidR="007052FC">
        <w:rPr>
          <w:rFonts w:eastAsia="MS Mincho" w:cs="Arial"/>
          <w:sz w:val="24"/>
        </w:rPr>
        <w:t xml:space="preserve">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B51105">
        <w:rPr>
          <w:rFonts w:eastAsia="MS Mincho" w:cs="Arial"/>
          <w:sz w:val="24"/>
        </w:rPr>
        <w:t xml:space="preserve">    </w:t>
      </w:r>
      <w:r w:rsidR="00F725D4">
        <w:rPr>
          <w:rFonts w:eastAsia="MS Mincho" w:cs="Arial"/>
          <w:sz w:val="24"/>
        </w:rPr>
        <w:t xml:space="preserve">    </w:t>
      </w:r>
      <w:r w:rsidR="009C4704">
        <w:rPr>
          <w:rFonts w:eastAsia="MS Mincho" w:cs="Arial"/>
          <w:sz w:val="24"/>
        </w:rPr>
        <w:t xml:space="preserve">    </w:t>
      </w:r>
      <w:r w:rsidR="007A7E12" w:rsidRPr="007A7E12">
        <w:rPr>
          <w:rFonts w:eastAsia="MS Mincho" w:cs="Arial"/>
          <w:sz w:val="24"/>
        </w:rPr>
        <w:t>R2-2501161</w:t>
      </w:r>
    </w:p>
    <w:p w14:paraId="49BCA891" w14:textId="1A20AD4E" w:rsidR="00EB4E25" w:rsidRPr="00791057" w:rsidRDefault="00AA4DFA" w:rsidP="00D4005F">
      <w:pPr>
        <w:pStyle w:val="Header"/>
        <w:jc w:val="both"/>
        <w:rPr>
          <w:rFonts w:eastAsia="MS Mincho"/>
          <w:sz w:val="24"/>
          <w:lang w:val="de-DE"/>
        </w:rPr>
      </w:pPr>
      <w:r>
        <w:rPr>
          <w:rFonts w:eastAsia="Yu Mincho"/>
          <w:sz w:val="24"/>
        </w:rPr>
        <w:t>Athens</w:t>
      </w:r>
      <w:r w:rsidRPr="007F6EA9">
        <w:rPr>
          <w:rFonts w:eastAsia="Yu Mincho"/>
          <w:sz w:val="24"/>
        </w:rPr>
        <w:t xml:space="preserve">, </w:t>
      </w:r>
      <w:r>
        <w:rPr>
          <w:rFonts w:eastAsia="Yu Mincho"/>
          <w:sz w:val="24"/>
        </w:rPr>
        <w:t>Greece</w:t>
      </w:r>
      <w:r w:rsidRPr="007F6EA9">
        <w:rPr>
          <w:rFonts w:eastAsia="Yu Mincho"/>
          <w:sz w:val="24"/>
        </w:rPr>
        <w:t xml:space="preserve">, </w:t>
      </w:r>
      <w:r>
        <w:rPr>
          <w:rFonts w:eastAsia="Yu Mincho"/>
          <w:sz w:val="24"/>
        </w:rPr>
        <w:t>Feb</w:t>
      </w:r>
      <w:r w:rsidRPr="007F6EA9">
        <w:rPr>
          <w:rFonts w:eastAsia="Yu Mincho"/>
          <w:sz w:val="24"/>
        </w:rPr>
        <w:t xml:space="preserve"> 1</w:t>
      </w:r>
      <w:r>
        <w:rPr>
          <w:rFonts w:eastAsia="Yu Mincho"/>
          <w:sz w:val="24"/>
        </w:rPr>
        <w:t>7</w:t>
      </w:r>
      <w:r w:rsidRPr="007E038B">
        <w:rPr>
          <w:rFonts w:eastAsia="Yu Mincho"/>
          <w:sz w:val="24"/>
          <w:vertAlign w:val="superscript"/>
        </w:rPr>
        <w:t>th</w:t>
      </w:r>
      <w:r>
        <w:rPr>
          <w:rFonts w:eastAsia="Yu Mincho"/>
          <w:sz w:val="24"/>
        </w:rPr>
        <w:t xml:space="preserve"> </w:t>
      </w:r>
      <w:r w:rsidRPr="007F6EA9">
        <w:rPr>
          <w:rFonts w:eastAsia="Yu Mincho"/>
          <w:sz w:val="24"/>
        </w:rPr>
        <w:t xml:space="preserve">– </w:t>
      </w:r>
      <w:r>
        <w:rPr>
          <w:rFonts w:eastAsia="Yu Mincho"/>
          <w:sz w:val="24"/>
        </w:rPr>
        <w:t>25</w:t>
      </w:r>
      <w:r w:rsidRPr="007E038B">
        <w:rPr>
          <w:rFonts w:eastAsia="Yu Mincho"/>
          <w:sz w:val="24"/>
          <w:vertAlign w:val="superscript"/>
        </w:rPr>
        <w:t>th</w:t>
      </w:r>
      <w:r w:rsidRPr="007F6EA9">
        <w:rPr>
          <w:rFonts w:eastAsia="Yu Mincho"/>
          <w:sz w:val="24"/>
        </w:rPr>
        <w:t>, 202</w:t>
      </w:r>
      <w:r>
        <w:rPr>
          <w:rFonts w:eastAsia="Yu Mincho"/>
          <w:sz w:val="24"/>
        </w:rPr>
        <w:t xml:space="preserve">5                                                </w:t>
      </w:r>
      <w:r w:rsidR="009C4704">
        <w:rPr>
          <w:rFonts w:eastAsia="Yu Mincho"/>
          <w:sz w:val="24"/>
        </w:rPr>
        <w:t xml:space="preserve">    </w:t>
      </w:r>
      <w:r>
        <w:rPr>
          <w:rFonts w:eastAsia="Yu Mincho"/>
          <w:sz w:val="24"/>
        </w:rPr>
        <w:t xml:space="preserve"> Revision of </w:t>
      </w:r>
      <w:bookmarkStart w:id="0" w:name="OLE_LINK1"/>
      <w:r w:rsidRPr="00AA4DFA">
        <w:rPr>
          <w:rFonts w:eastAsia="Yu Mincho"/>
          <w:sz w:val="24"/>
        </w:rPr>
        <w:t>R2-2410643</w:t>
      </w:r>
      <w:bookmarkEnd w:id="0"/>
    </w:p>
    <w:p w14:paraId="403CB9C0" w14:textId="77777777" w:rsidR="00A209D6" w:rsidRPr="000141F3" w:rsidRDefault="00A209D6" w:rsidP="00D4005F">
      <w:pPr>
        <w:pStyle w:val="Header"/>
        <w:jc w:val="both"/>
        <w:rPr>
          <w:rFonts w:cs="Arial"/>
          <w:bCs/>
          <w:noProof w:val="0"/>
          <w:sz w:val="24"/>
        </w:rPr>
      </w:pPr>
    </w:p>
    <w:p w14:paraId="74AEDB1B" w14:textId="3DCE59A2" w:rsidR="00A209D6" w:rsidRPr="000141F3" w:rsidRDefault="00A209D6" w:rsidP="00D4005F">
      <w:pPr>
        <w:pStyle w:val="CRCoverPage"/>
        <w:tabs>
          <w:tab w:val="left" w:pos="1985"/>
        </w:tabs>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w:t>
      </w:r>
      <w:r w:rsidR="007C7151">
        <w:rPr>
          <w:rFonts w:cs="Arial"/>
          <w:b/>
          <w:bCs/>
          <w:sz w:val="24"/>
        </w:rPr>
        <w:t>4</w:t>
      </w:r>
    </w:p>
    <w:p w14:paraId="73188B46" w14:textId="3872A4E7" w:rsidR="00A209D6" w:rsidRPr="000141F3" w:rsidRDefault="00A209D6" w:rsidP="00D4005F">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4504ADEE" w:rsidR="00A209D6" w:rsidRPr="000141F3" w:rsidRDefault="00A209D6" w:rsidP="00D4005F">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1" w:name="OLE_LINK2"/>
      <w:bookmarkStart w:id="2" w:name="OLE_LINK45"/>
      <w:r w:rsidR="001A56A2" w:rsidRPr="000141F3">
        <w:rPr>
          <w:rFonts w:ascii="Arial" w:hAnsi="Arial" w:cs="Arial"/>
          <w:b/>
          <w:bCs/>
          <w:sz w:val="24"/>
        </w:rPr>
        <w:t>Discussion</w:t>
      </w:r>
      <w:r w:rsidR="001F2FF2" w:rsidRPr="000141F3">
        <w:rPr>
          <w:rFonts w:ascii="Arial" w:hAnsi="Arial" w:cs="Arial"/>
          <w:b/>
          <w:bCs/>
          <w:sz w:val="24"/>
        </w:rPr>
        <w:t xml:space="preserve"> on </w:t>
      </w:r>
      <w:r w:rsidR="007C7151">
        <w:rPr>
          <w:rFonts w:ascii="Arial" w:hAnsi="Arial" w:cs="Arial"/>
          <w:b/>
          <w:bCs/>
          <w:sz w:val="24"/>
        </w:rPr>
        <w:t>supporting PWS for NB-IoT</w:t>
      </w:r>
      <w:bookmarkEnd w:id="1"/>
    </w:p>
    <w:bookmarkEnd w:id="2"/>
    <w:p w14:paraId="6FEB19D6" w14:textId="18A0ADEC" w:rsidR="00A209D6" w:rsidRPr="000141F3" w:rsidRDefault="00A209D6" w:rsidP="00D4005F">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Default="00A209D6" w:rsidP="00D4005F">
      <w:pPr>
        <w:pStyle w:val="Heading1"/>
        <w:jc w:val="both"/>
        <w:rPr>
          <w:rFonts w:cs="Arial"/>
        </w:rPr>
      </w:pPr>
      <w:r w:rsidRPr="000141F3">
        <w:rPr>
          <w:rFonts w:cs="Arial"/>
        </w:rPr>
        <w:t>Introduction</w:t>
      </w:r>
    </w:p>
    <w:p w14:paraId="4280BED2" w14:textId="338B4878" w:rsidR="00B75D96" w:rsidRPr="00B75D96" w:rsidRDefault="00B75D96" w:rsidP="008D0782">
      <w:pPr>
        <w:rPr>
          <w:lang w:eastAsia="en-US"/>
        </w:rPr>
      </w:pPr>
      <w:r>
        <w:rPr>
          <w:rFonts w:ascii="Arial" w:eastAsia="SimSun" w:hAnsi="Arial" w:cs="Arial"/>
          <w:bCs/>
          <w:lang w:eastAsia="zh-CN"/>
        </w:rPr>
        <w:t>New objective was added to R</w:t>
      </w:r>
      <w:r w:rsidRPr="00983CD2">
        <w:rPr>
          <w:rFonts w:ascii="Arial" w:eastAsia="SimSun" w:hAnsi="Arial" w:cs="Arial"/>
          <w:bCs/>
          <w:lang w:eastAsia="zh-CN"/>
        </w:rPr>
        <w:t xml:space="preserve">el-19 IoT NTN work item </w:t>
      </w:r>
      <w:r>
        <w:rPr>
          <w:rFonts w:ascii="Arial" w:eastAsia="SimSun" w:hAnsi="Arial" w:cs="Arial"/>
          <w:bCs/>
          <w:lang w:eastAsia="zh-CN"/>
        </w:rPr>
        <w:t>i</w:t>
      </w:r>
      <w:r w:rsidRPr="00983CD2">
        <w:rPr>
          <w:rFonts w:ascii="Arial" w:eastAsia="SimSun" w:hAnsi="Arial" w:cs="Arial"/>
          <w:bCs/>
          <w:lang w:eastAsia="zh-CN"/>
        </w:rPr>
        <w:t>n RAN#10</w:t>
      </w:r>
      <w:r>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Pr>
          <w:rFonts w:ascii="Arial" w:eastAsia="SimSun" w:hAnsi="Arial" w:cs="Arial"/>
          <w:bCs/>
          <w:lang w:val="en-US" w:eastAsia="zh-CN"/>
        </w:rPr>
        <w:t>:</w:t>
      </w:r>
    </w:p>
    <w:p w14:paraId="455CD8E1" w14:textId="77777777" w:rsidR="00F97087" w:rsidRPr="00D75BCD" w:rsidRDefault="00F97087" w:rsidP="008D0782">
      <w:pPr>
        <w:numPr>
          <w:ilvl w:val="0"/>
          <w:numId w:val="35"/>
        </w:numPr>
        <w:textAlignment w:val="baseline"/>
        <w:rPr>
          <w:bCs/>
        </w:rPr>
      </w:pPr>
      <w:bookmarkStart w:id="3" w:name="OLE_LINK79"/>
      <w:r w:rsidRPr="00D75BCD">
        <w:rPr>
          <w:bCs/>
        </w:rPr>
        <w:t>Support broadcast of PWS messages for NB-IoT re-using the LTE mechanisms [RAN2]</w:t>
      </w:r>
      <w:bookmarkEnd w:id="3"/>
    </w:p>
    <w:p w14:paraId="0EA93C2A" w14:textId="45B912DB" w:rsidR="00F97087" w:rsidRDefault="00F97087" w:rsidP="008D0782">
      <w:pPr>
        <w:ind w:leftChars="200" w:left="400"/>
        <w:rPr>
          <w:bCs/>
        </w:rPr>
      </w:pPr>
      <w:r>
        <w:rPr>
          <w:bCs/>
        </w:rPr>
        <w:t xml:space="preserve">Note: </w:t>
      </w:r>
      <w:r w:rsidRPr="006648AB">
        <w:rPr>
          <w:bCs/>
        </w:rPr>
        <w:t xml:space="preserve">The solutions will be developed for NTN but can be applicable to TN (if possible). </w:t>
      </w:r>
      <w:bookmarkStart w:id="4" w:name="OLE_LINK25"/>
      <w:r w:rsidRPr="006648AB">
        <w:rPr>
          <w:bCs/>
        </w:rPr>
        <w:t>Specific NB-IoT TN optimizations will not be considered as part of this WI</w:t>
      </w:r>
      <w:bookmarkEnd w:id="4"/>
      <w:r w:rsidRPr="006648AB">
        <w:rPr>
          <w:bCs/>
        </w:rPr>
        <w:t xml:space="preserve">.  </w:t>
      </w:r>
    </w:p>
    <w:p w14:paraId="0D75CF15" w14:textId="77777777" w:rsidR="00F97087" w:rsidRDefault="00F97087" w:rsidP="008D0782">
      <w:pPr>
        <w:ind w:leftChars="200" w:left="400"/>
        <w:rPr>
          <w:bCs/>
        </w:rPr>
      </w:pPr>
      <w:r>
        <w:rPr>
          <w:bCs/>
        </w:rPr>
        <w:t xml:space="preserve">Note: </w:t>
      </w:r>
      <w:r w:rsidRPr="00AB68A3">
        <w:rPr>
          <w:bCs/>
        </w:rPr>
        <w:t xml:space="preserve">Support for indication of </w:t>
      </w:r>
      <w:bookmarkStart w:id="5" w:name="OLE_LINK8"/>
      <w:r w:rsidRPr="00AB68A3">
        <w:rPr>
          <w:bCs/>
        </w:rPr>
        <w:t xml:space="preserve">intended service area </w:t>
      </w:r>
      <w:bookmarkEnd w:id="5"/>
      <w:r>
        <w:rPr>
          <w:bCs/>
        </w:rPr>
        <w:t xml:space="preserve">for ETWS </w:t>
      </w:r>
      <w:r w:rsidRPr="00AB68A3">
        <w:rPr>
          <w:bCs/>
        </w:rPr>
        <w:t xml:space="preserve">will be considered based on NR NTN discussions/outcome. </w:t>
      </w:r>
    </w:p>
    <w:p w14:paraId="5C532056" w14:textId="2F5238B2" w:rsidR="00FD1E68" w:rsidRDefault="00FD1E68" w:rsidP="008D0782">
      <w:pPr>
        <w:ind w:leftChars="200" w:left="400"/>
        <w:rPr>
          <w:bCs/>
        </w:rPr>
      </w:pPr>
      <w:r>
        <w:rPr>
          <w:rFonts w:hint="eastAsia"/>
          <w:bCs/>
        </w:rPr>
        <w:t>T</w:t>
      </w:r>
      <w:r>
        <w:rPr>
          <w:bCs/>
        </w:rPr>
        <w:t>his work item has been discussed in RAN2#127bis</w:t>
      </w:r>
      <w:r w:rsidR="00017DE8">
        <w:rPr>
          <w:bCs/>
        </w:rPr>
        <w:t xml:space="preserve"> and RAN2#128</w:t>
      </w:r>
      <w:r>
        <w:rPr>
          <w:bCs/>
        </w:rPr>
        <w:t xml:space="preserve"> meeting, and the following agreements have been reached.</w:t>
      </w:r>
    </w:p>
    <w:p w14:paraId="1BFC5869" w14:textId="34BC2F02" w:rsidR="00FD1E68" w:rsidRDefault="00017DE8" w:rsidP="00FD1E68">
      <w:pPr>
        <w:pStyle w:val="Doc-text2"/>
        <w:pBdr>
          <w:top w:val="single" w:sz="4" w:space="1" w:color="auto"/>
          <w:left w:val="single" w:sz="4" w:space="4" w:color="auto"/>
          <w:bottom w:val="single" w:sz="4" w:space="1" w:color="auto"/>
          <w:right w:val="single" w:sz="4" w:space="4" w:color="auto"/>
        </w:pBdr>
      </w:pPr>
      <w:r>
        <w:t>RAN2#127bis A</w:t>
      </w:r>
      <w:r w:rsidR="00FD1E68">
        <w:t>greements:</w:t>
      </w:r>
    </w:p>
    <w:p w14:paraId="3AD87914"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1DA9D24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16F5AC3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69DD78F3"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14:paraId="7075E57B"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14:paraId="75F18C67"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4EA43AD6"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0D72017B"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-Indication;</w:t>
      </w:r>
    </w:p>
    <w:p w14:paraId="69AF8813"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0E042A2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50D2E20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041A0D3" w14:textId="77777777" w:rsidR="00017DE8" w:rsidRDefault="00017DE8" w:rsidP="00FD1E68">
      <w:pPr>
        <w:pStyle w:val="Doc-text2"/>
        <w:pBdr>
          <w:top w:val="single" w:sz="4" w:space="1" w:color="auto"/>
          <w:left w:val="single" w:sz="4" w:space="4" w:color="auto"/>
          <w:bottom w:val="single" w:sz="4" w:space="1" w:color="auto"/>
          <w:right w:val="single" w:sz="4" w:space="4" w:color="auto"/>
        </w:pBdr>
      </w:pPr>
    </w:p>
    <w:p w14:paraId="10C865F2" w14:textId="1A71F676" w:rsidR="00017DE8" w:rsidRDefault="00017DE8" w:rsidP="00FD1E68">
      <w:pPr>
        <w:pStyle w:val="Doc-text2"/>
        <w:pBdr>
          <w:top w:val="single" w:sz="4" w:space="1" w:color="auto"/>
          <w:left w:val="single" w:sz="4" w:space="4" w:color="auto"/>
          <w:bottom w:val="single" w:sz="4" w:space="1" w:color="auto"/>
          <w:right w:val="single" w:sz="4" w:space="4" w:color="auto"/>
        </w:pBdr>
      </w:pPr>
      <w:r>
        <w:rPr>
          <w:rFonts w:hint="eastAsia"/>
        </w:rPr>
        <w:t>R</w:t>
      </w:r>
      <w:r>
        <w:t>AN2#128 Agreement</w:t>
      </w:r>
    </w:p>
    <w:p w14:paraId="26736FB7" w14:textId="77777777" w:rsidR="00017DE8" w:rsidRDefault="00017DE8" w:rsidP="00017DE8">
      <w:pPr>
        <w:pStyle w:val="Doc-text2"/>
        <w:numPr>
          <w:ilvl w:val="0"/>
          <w:numId w:val="40"/>
        </w:numPr>
        <w:pBdr>
          <w:top w:val="single" w:sz="4" w:space="1" w:color="auto"/>
          <w:left w:val="single" w:sz="4" w:space="4" w:color="auto"/>
          <w:bottom w:val="single" w:sz="4" w:space="1" w:color="auto"/>
          <w:right w:val="single" w:sz="4" w:space="4" w:color="auto"/>
        </w:pBdr>
      </w:pPr>
      <w:r>
        <w:t>We will c</w:t>
      </w:r>
      <w:r w:rsidRPr="00C90F95">
        <w:t>larify in 36.300 section 4.10 that in general a NB-IoT UE may not support all PWS requirements.</w:t>
      </w:r>
    </w:p>
    <w:p w14:paraId="359198CC"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2.</w:t>
      </w:r>
      <w:r>
        <w:tab/>
        <w:t>We will e</w:t>
      </w:r>
      <w:r w:rsidRPr="00A97094">
        <w:t xml:space="preserve">xtend the existing ETWS/CMAS notification RRC procedures </w:t>
      </w:r>
      <w:r>
        <w:t xml:space="preserve">for </w:t>
      </w:r>
      <w:proofErr w:type="spellStart"/>
      <w:r>
        <w:t>eMTC</w:t>
      </w:r>
      <w:proofErr w:type="spellEnd"/>
      <w:r>
        <w:t xml:space="preserve"> </w:t>
      </w:r>
      <w:r w:rsidRPr="00A97094">
        <w:t xml:space="preserve">to NB-IoT. </w:t>
      </w:r>
      <w:r w:rsidRPr="00334CF7">
        <w:rPr>
          <w:highlight w:val="yellow"/>
        </w:rPr>
        <w:t xml:space="preserve">FFS if SIB1-NB acquisition is </w:t>
      </w:r>
      <w:proofErr w:type="gramStart"/>
      <w:r w:rsidRPr="00334CF7">
        <w:rPr>
          <w:highlight w:val="yellow"/>
        </w:rPr>
        <w:t>needed</w:t>
      </w:r>
      <w:proofErr w:type="gramEnd"/>
    </w:p>
    <w:p w14:paraId="2D9F915E"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5D989305"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5525CE98" w14:textId="33C4A212" w:rsidR="00017DE8" w:rsidRDefault="00017DE8" w:rsidP="00FD1E68">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15A97D2D" w14:textId="77777777" w:rsidR="00472184" w:rsidRDefault="00472184" w:rsidP="000D3F8F">
      <w:pPr>
        <w:rPr>
          <w:rFonts w:ascii="Arial" w:eastAsia="SimSun" w:hAnsi="Arial" w:cs="Arial"/>
          <w:bCs/>
          <w:lang w:eastAsia="zh-CN"/>
        </w:rPr>
      </w:pPr>
    </w:p>
    <w:p w14:paraId="5FF02D07" w14:textId="3B43087D" w:rsidR="00FD1E68" w:rsidRPr="000D3F8F" w:rsidRDefault="00FD1E68" w:rsidP="000D3F8F">
      <w:pPr>
        <w:rPr>
          <w:rFonts w:ascii="Arial" w:eastAsia="SimSun" w:hAnsi="Arial" w:cs="Arial"/>
          <w:bCs/>
          <w:lang w:eastAsia="zh-CN"/>
        </w:rPr>
      </w:pPr>
      <w:r w:rsidRPr="000D3F8F">
        <w:rPr>
          <w:rFonts w:ascii="Arial" w:eastAsia="SimSun" w:hAnsi="Arial" w:cs="Arial" w:hint="eastAsia"/>
          <w:bCs/>
          <w:lang w:eastAsia="zh-CN"/>
        </w:rPr>
        <w:t>I</w:t>
      </w:r>
      <w:r w:rsidRPr="000D3F8F">
        <w:rPr>
          <w:rFonts w:ascii="Arial" w:eastAsia="SimSun" w:hAnsi="Arial" w:cs="Arial"/>
          <w:bCs/>
          <w:lang w:eastAsia="zh-CN"/>
        </w:rPr>
        <w:t>n this contribution, we continue discussing the intended service area.</w:t>
      </w:r>
    </w:p>
    <w:p w14:paraId="51ABF603" w14:textId="2A45C16E" w:rsidR="00DC6A61" w:rsidRDefault="00DC6A61" w:rsidP="00D4005F">
      <w:pPr>
        <w:pStyle w:val="Heading1"/>
        <w:jc w:val="both"/>
        <w:rPr>
          <w:rFonts w:cs="Arial"/>
        </w:rPr>
      </w:pPr>
      <w:r w:rsidRPr="000141F3">
        <w:rPr>
          <w:rFonts w:cs="Arial"/>
        </w:rPr>
        <w:t>Discussion</w:t>
      </w:r>
    </w:p>
    <w:p w14:paraId="0FA0C11E" w14:textId="03F272A8" w:rsidR="00DB247E" w:rsidRPr="00395CDE" w:rsidRDefault="00DB247E" w:rsidP="00395CDE">
      <w:pPr>
        <w:jc w:val="both"/>
        <w:rPr>
          <w:rFonts w:ascii="Arial" w:hAnsi="Arial" w:cs="Arial"/>
          <w:b/>
          <w:bCs/>
          <w:u w:val="single"/>
          <w:lang w:eastAsia="en-US"/>
        </w:rPr>
      </w:pPr>
      <w:r w:rsidRPr="00395CDE">
        <w:rPr>
          <w:rFonts w:ascii="Arial" w:hAnsi="Arial" w:cs="Arial"/>
          <w:b/>
          <w:bCs/>
          <w:u w:val="single"/>
          <w:lang w:eastAsia="en-US"/>
        </w:rPr>
        <w:t>SIB1-NB acquisition</w:t>
      </w:r>
    </w:p>
    <w:p w14:paraId="6C6CFB63" w14:textId="6AB3D289" w:rsidR="00DB247E" w:rsidRPr="00395CDE" w:rsidRDefault="00DB247E" w:rsidP="00395CDE">
      <w:pPr>
        <w:jc w:val="both"/>
        <w:rPr>
          <w:rFonts w:ascii="Arial" w:hAnsi="Arial" w:cs="Arial"/>
          <w:lang w:eastAsia="en-US"/>
        </w:rPr>
      </w:pPr>
      <w:r w:rsidRPr="00395CDE">
        <w:rPr>
          <w:rFonts w:ascii="Arial" w:hAnsi="Arial" w:cs="Arial"/>
          <w:lang w:eastAsia="en-US"/>
        </w:rPr>
        <w:t>In the last RAN2 meeting, it has been agreed that we will extend the existing ETWS/CMAS notification RRC procedures for eMTC to NB-IoT. FFS if SIB1-NB acquisition is needed.</w:t>
      </w:r>
    </w:p>
    <w:p w14:paraId="2BF4F0A3" w14:textId="77777777" w:rsidR="00DB247E" w:rsidRPr="00395CDE" w:rsidRDefault="00DB247E" w:rsidP="00395CDE">
      <w:pPr>
        <w:jc w:val="both"/>
        <w:rPr>
          <w:rFonts w:ascii="Arial" w:hAnsi="Arial" w:cs="Arial"/>
          <w:lang w:eastAsia="en-US"/>
        </w:rPr>
      </w:pPr>
      <w:r w:rsidRPr="00395CDE">
        <w:rPr>
          <w:rFonts w:ascii="Arial" w:hAnsi="Arial" w:cs="Arial" w:hint="eastAsia"/>
          <w:lang w:eastAsia="en-US"/>
        </w:rPr>
        <w:lastRenderedPageBreak/>
        <w:t>I</w:t>
      </w:r>
      <w:r w:rsidRPr="00395CDE">
        <w:rPr>
          <w:rFonts w:ascii="Arial" w:hAnsi="Arial" w:cs="Arial"/>
          <w:lang w:eastAsia="en-US"/>
        </w:rPr>
        <w:t>t is clear that the SIB1-NB contains the schedulling information of system information block. UE cannot acquire SIB10/11/12 without this schedulling information.</w:t>
      </w:r>
    </w:p>
    <w:p w14:paraId="6EC077CD" w14:textId="77777777" w:rsidR="00DB247E" w:rsidRPr="00395CDE" w:rsidRDefault="00DB247E" w:rsidP="00395CDE">
      <w:pPr>
        <w:jc w:val="both"/>
        <w:rPr>
          <w:rFonts w:ascii="Arial" w:hAnsi="Arial" w:cs="Arial"/>
          <w:lang w:eastAsia="en-US"/>
        </w:rPr>
      </w:pPr>
      <w:r w:rsidRPr="00395CDE">
        <w:rPr>
          <w:rFonts w:ascii="Arial" w:hAnsi="Arial" w:cs="Arial"/>
          <w:lang w:eastAsia="en-US"/>
        </w:rPr>
        <w:t xml:space="preserve">The schedulling periodicity of SIB1-NB is 2560ms. The least NPDSCH repetition number in the 2560ms is 4, which means the UE can get a SIB1-NB at least in 640ms. The latency for receving the PWS message is acceptable. </w:t>
      </w:r>
    </w:p>
    <w:p w14:paraId="68C0E476" w14:textId="26769468" w:rsidR="00DB247E" w:rsidRPr="00395CDE" w:rsidRDefault="00DB247E" w:rsidP="00395CDE">
      <w:pPr>
        <w:jc w:val="both"/>
        <w:rPr>
          <w:rFonts w:ascii="Arial" w:hAnsi="Arial" w:cs="Arial"/>
          <w:lang w:eastAsia="en-US"/>
        </w:rPr>
      </w:pPr>
      <w:r w:rsidRPr="00395CDE">
        <w:rPr>
          <w:rFonts w:ascii="Arial" w:hAnsi="Arial" w:cs="Arial" w:hint="eastAsia"/>
          <w:lang w:eastAsia="en-US"/>
        </w:rPr>
        <w:t>T</w:t>
      </w:r>
      <w:r w:rsidRPr="00395CDE">
        <w:rPr>
          <w:rFonts w:ascii="Arial" w:hAnsi="Arial" w:cs="Arial"/>
          <w:lang w:eastAsia="en-US"/>
        </w:rPr>
        <w:t>herefore</w:t>
      </w:r>
      <w:r w:rsidR="00D9021E">
        <w:rPr>
          <w:rFonts w:ascii="Arial" w:hAnsi="Arial" w:cs="Arial"/>
          <w:lang w:eastAsia="en-US"/>
        </w:rPr>
        <w:t xml:space="preserve">, </w:t>
      </w:r>
      <w:r w:rsidRPr="00395CDE">
        <w:rPr>
          <w:rFonts w:ascii="Arial" w:hAnsi="Arial" w:cs="Arial"/>
          <w:lang w:eastAsia="en-US"/>
        </w:rPr>
        <w:t>we think SIB1-NB acqu</w:t>
      </w:r>
      <w:r w:rsidR="00626EA6">
        <w:rPr>
          <w:rFonts w:ascii="Arial" w:hAnsi="Arial" w:cs="Arial"/>
          <w:lang w:eastAsia="en-US"/>
        </w:rPr>
        <w:t>i</w:t>
      </w:r>
      <w:r w:rsidRPr="00395CDE">
        <w:rPr>
          <w:rFonts w:ascii="Arial" w:hAnsi="Arial" w:cs="Arial"/>
          <w:lang w:eastAsia="en-US"/>
        </w:rPr>
        <w:t xml:space="preserve">sition </w:t>
      </w:r>
      <w:r w:rsidR="00626EA6" w:rsidRPr="00626EA6">
        <w:rPr>
          <w:rFonts w:ascii="Arial" w:hAnsi="Arial" w:cs="Arial"/>
          <w:lang w:eastAsia="en-US"/>
        </w:rPr>
        <w:t xml:space="preserve">after receiving the PWS notification </w:t>
      </w:r>
      <w:r w:rsidRPr="00395CDE">
        <w:rPr>
          <w:rFonts w:ascii="Arial" w:hAnsi="Arial" w:cs="Arial"/>
          <w:lang w:eastAsia="en-US"/>
        </w:rPr>
        <w:t>is needed.</w:t>
      </w:r>
    </w:p>
    <w:p w14:paraId="398A15EE" w14:textId="54B0EE68" w:rsidR="00472184" w:rsidRDefault="00DB247E" w:rsidP="00AE5A09">
      <w:pPr>
        <w:jc w:val="both"/>
        <w:rPr>
          <w:rFonts w:ascii="Arial" w:hAnsi="Arial" w:cs="Arial"/>
          <w:b/>
          <w:bCs/>
          <w:lang w:eastAsia="en-US"/>
        </w:rPr>
      </w:pPr>
      <w:r w:rsidRPr="00395CDE">
        <w:rPr>
          <w:rFonts w:ascii="Arial" w:hAnsi="Arial" w:cs="Arial" w:hint="eastAsia"/>
          <w:b/>
          <w:bCs/>
          <w:lang w:eastAsia="en-US"/>
        </w:rPr>
        <w:t>P</w:t>
      </w:r>
      <w:r w:rsidRPr="00395CDE">
        <w:rPr>
          <w:rFonts w:ascii="Arial" w:hAnsi="Arial" w:cs="Arial"/>
          <w:b/>
          <w:bCs/>
          <w:lang w:eastAsia="en-US"/>
        </w:rPr>
        <w:t>roposal 1: SIB1-NB acquisition is needed after receiv</w:t>
      </w:r>
      <w:r w:rsidR="00626EA6">
        <w:rPr>
          <w:rFonts w:ascii="Arial" w:hAnsi="Arial" w:cs="Arial"/>
          <w:b/>
          <w:bCs/>
          <w:lang w:eastAsia="en-US"/>
        </w:rPr>
        <w:t>ing</w:t>
      </w:r>
      <w:r w:rsidRPr="00395CDE">
        <w:rPr>
          <w:rFonts w:ascii="Arial" w:hAnsi="Arial" w:cs="Arial"/>
          <w:b/>
          <w:bCs/>
          <w:lang w:eastAsia="en-US"/>
        </w:rPr>
        <w:t xml:space="preserve"> the PWS notification.</w:t>
      </w:r>
    </w:p>
    <w:p w14:paraId="604E5701" w14:textId="77777777" w:rsidR="00F3009B" w:rsidRPr="00F3009B" w:rsidRDefault="00F3009B" w:rsidP="003F26BD">
      <w:pPr>
        <w:spacing w:after="0"/>
        <w:jc w:val="both"/>
        <w:rPr>
          <w:rFonts w:ascii="Arial" w:hAnsi="Arial" w:cs="Arial"/>
          <w:b/>
          <w:bCs/>
          <w:lang w:eastAsia="en-US"/>
        </w:rPr>
      </w:pPr>
    </w:p>
    <w:p w14:paraId="69E0BC24" w14:textId="3BB212DA" w:rsidR="008D0782" w:rsidRPr="00AE5A09" w:rsidRDefault="008D0782" w:rsidP="00AE5A09">
      <w:pPr>
        <w:jc w:val="both"/>
        <w:rPr>
          <w:rFonts w:ascii="Arial" w:hAnsi="Arial" w:cs="Arial"/>
          <w:b/>
          <w:bCs/>
          <w:u w:val="single"/>
          <w:lang w:eastAsia="en-US"/>
        </w:rPr>
      </w:pPr>
      <w:r w:rsidRPr="00AE5A09">
        <w:rPr>
          <w:rFonts w:ascii="Arial" w:hAnsi="Arial" w:cs="Arial" w:hint="eastAsia"/>
          <w:b/>
          <w:bCs/>
          <w:u w:val="single"/>
          <w:lang w:eastAsia="en-US"/>
        </w:rPr>
        <w:t xml:space="preserve">intended service </w:t>
      </w:r>
      <w:r w:rsidR="00AE5A09" w:rsidRPr="00AE5A09">
        <w:rPr>
          <w:rFonts w:ascii="Arial" w:hAnsi="Arial" w:cs="Arial"/>
          <w:b/>
          <w:bCs/>
          <w:u w:val="single"/>
          <w:lang w:eastAsia="en-US"/>
        </w:rPr>
        <w:t>area.</w:t>
      </w:r>
    </w:p>
    <w:p w14:paraId="51389DDF" w14:textId="03DEF614" w:rsidR="008D0782" w:rsidRPr="00AE5A09" w:rsidRDefault="00AE5A09" w:rsidP="00AE5A09">
      <w:pPr>
        <w:jc w:val="both"/>
        <w:rPr>
          <w:rFonts w:ascii="Arial" w:hAnsi="Arial" w:cs="Arial"/>
          <w:lang w:eastAsia="en-US"/>
        </w:rPr>
      </w:pPr>
      <w:r w:rsidRPr="00AE5A09">
        <w:rPr>
          <w:rFonts w:ascii="Arial" w:hAnsi="Arial" w:cs="Arial" w:hint="eastAsia"/>
          <w:lang w:eastAsia="en-US"/>
        </w:rPr>
        <w:t>A</w:t>
      </w:r>
      <w:r w:rsidRPr="00AE5A09">
        <w:rPr>
          <w:rFonts w:ascii="Arial" w:hAnsi="Arial" w:cs="Arial"/>
          <w:lang w:eastAsia="en-US"/>
        </w:rPr>
        <w:t>ccord</w:t>
      </w:r>
      <w:r w:rsidR="00017DE8">
        <w:rPr>
          <w:rFonts w:ascii="Arial" w:hAnsi="Arial" w:cs="Arial"/>
          <w:lang w:eastAsia="en-US"/>
        </w:rPr>
        <w:t>i</w:t>
      </w:r>
      <w:r w:rsidRPr="00AE5A09">
        <w:rPr>
          <w:rFonts w:ascii="Arial" w:hAnsi="Arial" w:cs="Arial"/>
          <w:lang w:eastAsia="en-US"/>
        </w:rPr>
        <w:t>ng to WID, support for indication of intended service area for ETWS will be considered based on NR NTN discussions/outcome</w:t>
      </w:r>
      <w:r>
        <w:rPr>
          <w:rFonts w:ascii="Arial" w:hAnsi="Arial" w:cs="Arial"/>
          <w:lang w:eastAsia="en-US"/>
        </w:rPr>
        <w:t>. The following RAN2 agreement regarding intended service area has been reached.</w:t>
      </w:r>
    </w:p>
    <w:p w14:paraId="4689F082" w14:textId="49390C8D" w:rsidR="002870F1" w:rsidRDefault="002870F1" w:rsidP="002870F1">
      <w:pPr>
        <w:pStyle w:val="Doc-text2"/>
        <w:pBdr>
          <w:top w:val="single" w:sz="4" w:space="1" w:color="auto"/>
          <w:left w:val="single" w:sz="4" w:space="4" w:color="auto"/>
          <w:bottom w:val="single" w:sz="4" w:space="1" w:color="auto"/>
          <w:right w:val="single" w:sz="4" w:space="4" w:color="auto"/>
        </w:pBdr>
      </w:pPr>
      <w:r>
        <w:t>RAN2#126 Agreements:</w:t>
      </w:r>
    </w:p>
    <w:p w14:paraId="2695B315" w14:textId="6BDBEA82" w:rsidR="002870F1" w:rsidRDefault="002870F1" w:rsidP="002870F1">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pPr>
      <w:r>
        <w:t>RAN2 will not define means for the NW to prevent the reception of the content of the service outside of the intended service area.</w:t>
      </w:r>
    </w:p>
    <w:p w14:paraId="5803FBD4" w14:textId="1A1E8B56" w:rsidR="002870F1" w:rsidRDefault="002870F1" w:rsidP="002870F1">
      <w:pPr>
        <w:pStyle w:val="Doc-text2"/>
        <w:numPr>
          <w:ilvl w:val="0"/>
          <w:numId w:val="39"/>
        </w:numPr>
        <w:pBdr>
          <w:top w:val="single" w:sz="4" w:space="1" w:color="auto"/>
          <w:left w:val="single" w:sz="4" w:space="4" w:color="auto"/>
          <w:bottom w:val="single" w:sz="4" w:space="1" w:color="auto"/>
          <w:right w:val="single" w:sz="4" w:space="4" w:color="auto"/>
        </w:pBdr>
      </w:pPr>
      <w:r>
        <w:t>MBS broadcast intended service area is provided via system information.</w:t>
      </w:r>
    </w:p>
    <w:p w14:paraId="2BE0CDA2" w14:textId="135F38DB" w:rsidR="002870F1" w:rsidRDefault="002870F1" w:rsidP="002870F1">
      <w:pPr>
        <w:pStyle w:val="Doc-text2"/>
        <w:numPr>
          <w:ilvl w:val="0"/>
          <w:numId w:val="39"/>
        </w:numPr>
        <w:pBdr>
          <w:top w:val="single" w:sz="4" w:space="1" w:color="auto"/>
          <w:left w:val="single" w:sz="4" w:space="4" w:color="auto"/>
          <w:bottom w:val="single" w:sz="4" w:space="1" w:color="auto"/>
          <w:right w:val="single" w:sz="4" w:space="4" w:color="auto"/>
        </w:pBdr>
      </w:pPr>
      <w:r>
        <w:t xml:space="preserve">For MBS broadcast RAN2 considers the following possibilities for including the service area information: SIB20/ SIB21/ </w:t>
      </w:r>
      <w:proofErr w:type="spellStart"/>
      <w:r>
        <w:t>MBSBroadcastConfiguration</w:t>
      </w:r>
      <w:proofErr w:type="spellEnd"/>
      <w:r>
        <w:t>. FFS for ETWS</w:t>
      </w:r>
    </w:p>
    <w:p w14:paraId="30F00418" w14:textId="3C71E44E" w:rsidR="002870F1" w:rsidRDefault="002870F1" w:rsidP="002870F1">
      <w:pPr>
        <w:pStyle w:val="Doc-text2"/>
        <w:numPr>
          <w:ilvl w:val="0"/>
          <w:numId w:val="39"/>
        </w:numPr>
        <w:pBdr>
          <w:top w:val="single" w:sz="4" w:space="1" w:color="auto"/>
          <w:left w:val="single" w:sz="4" w:space="4" w:color="auto"/>
          <w:bottom w:val="single" w:sz="4" w:space="1" w:color="auto"/>
          <w:right w:val="single" w:sz="4" w:space="4" w:color="auto"/>
        </w:pBdr>
      </w:pPr>
      <w:r>
        <w:t>When intended service area (e.g., geographical area/TN coverage) is provided for MBS broadcast service, it needs to be associated with MBS session (FFS on the details)</w:t>
      </w:r>
    </w:p>
    <w:p w14:paraId="7B8E97B5" w14:textId="77777777" w:rsidR="002870F1" w:rsidRDefault="002870F1" w:rsidP="008D0782">
      <w:pPr>
        <w:pStyle w:val="Doc-text2"/>
        <w:pBdr>
          <w:top w:val="single" w:sz="4" w:space="1" w:color="auto"/>
          <w:left w:val="single" w:sz="4" w:space="4" w:color="auto"/>
          <w:bottom w:val="single" w:sz="4" w:space="1" w:color="auto"/>
          <w:right w:val="single" w:sz="4" w:space="4" w:color="auto"/>
        </w:pBdr>
      </w:pPr>
    </w:p>
    <w:p w14:paraId="040D45B1" w14:textId="56C7D6FA" w:rsidR="008D0782" w:rsidRDefault="00AE5A09" w:rsidP="008D0782">
      <w:pPr>
        <w:pStyle w:val="Doc-text2"/>
        <w:pBdr>
          <w:top w:val="single" w:sz="4" w:space="1" w:color="auto"/>
          <w:left w:val="single" w:sz="4" w:space="4" w:color="auto"/>
          <w:bottom w:val="single" w:sz="4" w:space="1" w:color="auto"/>
          <w:right w:val="single" w:sz="4" w:space="4" w:color="auto"/>
        </w:pBdr>
      </w:pPr>
      <w:r>
        <w:t xml:space="preserve">RAN2#127 </w:t>
      </w:r>
      <w:r w:rsidR="008D0782">
        <w:t>Agreements:</w:t>
      </w:r>
    </w:p>
    <w:p w14:paraId="01C98C85" w14:textId="77777777" w:rsidR="00AE5A09" w:rsidRDefault="00AE5A09" w:rsidP="002870F1">
      <w:pPr>
        <w:pStyle w:val="Doc-text2"/>
        <w:numPr>
          <w:ilvl w:val="0"/>
          <w:numId w:val="37"/>
        </w:numPr>
        <w:pBdr>
          <w:top w:val="single" w:sz="4" w:space="1" w:color="auto"/>
          <w:left w:val="single" w:sz="4" w:space="4" w:color="auto"/>
          <w:bottom w:val="single" w:sz="4" w:space="1" w:color="auto"/>
          <w:right w:val="single" w:sz="4" w:space="4" w:color="auto"/>
        </w:pBdr>
        <w:rPr>
          <w:lang w:val="en-US" w:eastAsia="ko-KR"/>
        </w:rPr>
      </w:pP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 xml:space="preserve">UE may not need to (re)acquire </w:t>
      </w:r>
      <w:proofErr w:type="gramStart"/>
      <w:r w:rsidRPr="00BD212B">
        <w:rPr>
          <w:lang w:val="en-US" w:eastAsia="ko-KR"/>
        </w:rPr>
        <w:t>up-to-date</w:t>
      </w:r>
      <w:proofErr w:type="gramEnd"/>
      <w:r w:rsidRPr="00BD212B">
        <w:rPr>
          <w:lang w:val="en-US" w:eastAsia="ko-KR"/>
        </w:rPr>
        <w:t xml:space="preserve"> MCCH.</w:t>
      </w:r>
      <w:r>
        <w:rPr>
          <w:lang w:val="en-US" w:eastAsia="ko-KR"/>
        </w:rPr>
        <w:t xml:space="preserve"> FFS on solutions</w:t>
      </w:r>
    </w:p>
    <w:p w14:paraId="2438D1A2" w14:textId="77777777" w:rsidR="002870F1" w:rsidRDefault="002870F1" w:rsidP="005C204B">
      <w:pPr>
        <w:pStyle w:val="Doc-text2"/>
        <w:numPr>
          <w:ilvl w:val="0"/>
          <w:numId w:val="37"/>
        </w:numPr>
        <w:pBdr>
          <w:top w:val="single" w:sz="4" w:space="1" w:color="auto"/>
          <w:left w:val="single" w:sz="4" w:space="4" w:color="auto"/>
          <w:bottom w:val="single" w:sz="4" w:space="1" w:color="auto"/>
          <w:right w:val="single" w:sz="4" w:space="4" w:color="auto"/>
        </w:pBdr>
        <w:rPr>
          <w:lang w:val="en-US" w:eastAsia="ko-KR"/>
        </w:rPr>
      </w:pPr>
      <w:r w:rsidRPr="002870F1">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14:paraId="71016DE8" w14:textId="1B4AEB7D" w:rsidR="002870F1" w:rsidRPr="002870F1" w:rsidRDefault="002870F1" w:rsidP="005C204B">
      <w:pPr>
        <w:pStyle w:val="Doc-text2"/>
        <w:numPr>
          <w:ilvl w:val="0"/>
          <w:numId w:val="37"/>
        </w:numPr>
        <w:pBdr>
          <w:top w:val="single" w:sz="4" w:space="1" w:color="auto"/>
          <w:left w:val="single" w:sz="4" w:space="4" w:color="auto"/>
          <w:bottom w:val="single" w:sz="4" w:space="1" w:color="auto"/>
          <w:right w:val="single" w:sz="4" w:space="4" w:color="auto"/>
        </w:pBdr>
        <w:rPr>
          <w:lang w:val="en-US" w:eastAsia="ko-KR"/>
        </w:rPr>
      </w:pPr>
      <w:r w:rsidRPr="002870F1">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A8B019D" w14:textId="28B6B8CC" w:rsidR="00AE5A09" w:rsidRDefault="00AE5A09" w:rsidP="00AE5A09">
      <w:pPr>
        <w:pStyle w:val="Doc-text2"/>
        <w:pBdr>
          <w:top w:val="single" w:sz="4" w:space="1" w:color="auto"/>
          <w:left w:val="single" w:sz="4" w:space="4" w:color="auto"/>
          <w:bottom w:val="single" w:sz="4" w:space="1" w:color="auto"/>
          <w:right w:val="single" w:sz="4" w:space="4" w:color="auto"/>
        </w:pBdr>
        <w:tabs>
          <w:tab w:val="clear" w:pos="1622"/>
        </w:tabs>
      </w:pPr>
    </w:p>
    <w:p w14:paraId="07E45589" w14:textId="4CBD94C2" w:rsidR="00AE5A09" w:rsidRDefault="00AE5A09" w:rsidP="00AE5A09">
      <w:pPr>
        <w:pStyle w:val="Doc-text2"/>
        <w:pBdr>
          <w:top w:val="single" w:sz="4" w:space="1" w:color="auto"/>
          <w:left w:val="single" w:sz="4" w:space="4" w:color="auto"/>
          <w:bottom w:val="single" w:sz="4" w:space="1" w:color="auto"/>
          <w:right w:val="single" w:sz="4" w:space="4" w:color="auto"/>
        </w:pBdr>
      </w:pPr>
      <w:r>
        <w:t>RAN2#127bis Agreements:</w:t>
      </w:r>
    </w:p>
    <w:p w14:paraId="0C373AF8" w14:textId="1D9EA775" w:rsidR="008D0782" w:rsidRDefault="008D0782" w:rsidP="002870F1">
      <w:pPr>
        <w:pStyle w:val="Doc-text2"/>
        <w:numPr>
          <w:ilvl w:val="0"/>
          <w:numId w:val="38"/>
        </w:numPr>
        <w:pBdr>
          <w:top w:val="single" w:sz="4" w:space="1" w:color="auto"/>
          <w:left w:val="single" w:sz="4" w:space="4" w:color="auto"/>
          <w:bottom w:val="single" w:sz="4" w:space="1" w:color="auto"/>
          <w:right w:val="single" w:sz="4" w:space="4" w:color="auto"/>
        </w:pBdr>
      </w:pPr>
      <w:r>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69E09BE0"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p>
    <w:p w14:paraId="4E8E9181" w14:textId="36EE9EDB" w:rsidR="00017DE8" w:rsidRDefault="00017DE8" w:rsidP="00017DE8">
      <w:pPr>
        <w:pStyle w:val="Doc-text2"/>
        <w:pBdr>
          <w:top w:val="single" w:sz="4" w:space="1" w:color="auto"/>
          <w:left w:val="single" w:sz="4" w:space="4" w:color="auto"/>
          <w:bottom w:val="single" w:sz="4" w:space="1" w:color="auto"/>
          <w:right w:val="single" w:sz="4" w:space="4" w:color="auto"/>
        </w:pBdr>
      </w:pPr>
      <w:r>
        <w:t>RAN2#128 Agreements:</w:t>
      </w:r>
    </w:p>
    <w:p w14:paraId="4E70E3DE"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1.</w:t>
      </w:r>
      <w:r>
        <w:tab/>
        <w:t>The encoding of TN coverage introduced in Rel-18 in TS38.331, including tn-ReferenceLocation-r18 and tn-DistanceRadius-r18, is reused for the geographical area of the circle.</w:t>
      </w:r>
    </w:p>
    <w:p w14:paraId="5BE2ABF7"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2.</w:t>
      </w:r>
      <w:r>
        <w:tab/>
        <w:t>The encoding of Polygon in TS37.355 is reused for the geographical area of the Polygon.</w:t>
      </w:r>
    </w:p>
    <w:p w14:paraId="21EC0749"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3.</w:t>
      </w:r>
      <w:r>
        <w:tab/>
        <w:t xml:space="preserve">The </w:t>
      </w:r>
      <w:proofErr w:type="spellStart"/>
      <w:r>
        <w:t>IntendedServiceArea</w:t>
      </w:r>
      <w:proofErr w:type="spellEnd"/>
      <w:r>
        <w:t xml:space="preserve"> is considered as the IE name of the geographical area (we can still update the name in the CR implementation if needed)</w:t>
      </w:r>
    </w:p>
    <w:p w14:paraId="76E04C37"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4.</w:t>
      </w:r>
      <w:r>
        <w:tab/>
        <w:t xml:space="preserve">A signalled intended service area for </w:t>
      </w:r>
      <w:proofErr w:type="gramStart"/>
      <w:r>
        <w:t>a</w:t>
      </w:r>
      <w:proofErr w:type="gramEnd"/>
      <w:r>
        <w:t xml:space="preserve"> MBS BC service may include geographic areas across the current serving cell and overlapping </w:t>
      </w:r>
      <w:proofErr w:type="spellStart"/>
      <w:r>
        <w:t>neighbor</w:t>
      </w:r>
      <w:proofErr w:type="spellEnd"/>
      <w:r>
        <w:t xml:space="preserve"> cell(s).</w:t>
      </w:r>
    </w:p>
    <w:p w14:paraId="15D8CBE0"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5.</w:t>
      </w:r>
      <w:r>
        <w:tab/>
        <w:t xml:space="preserve">RAN2 understands that the geographic area information for the intended service areas can be semi-static and not cause frequent updates.  </w:t>
      </w:r>
    </w:p>
    <w:p w14:paraId="39120773" w14:textId="77777777" w:rsidR="00017DE8" w:rsidRDefault="00017DE8" w:rsidP="00017DE8">
      <w:pPr>
        <w:pStyle w:val="Doc-text2"/>
        <w:pBdr>
          <w:top w:val="single" w:sz="4" w:space="1" w:color="auto"/>
          <w:left w:val="single" w:sz="4" w:space="4" w:color="auto"/>
          <w:bottom w:val="single" w:sz="4" w:space="1" w:color="auto"/>
          <w:right w:val="single" w:sz="4" w:space="4" w:color="auto"/>
        </w:pBdr>
      </w:pPr>
      <w:r>
        <w:t>6.</w:t>
      </w:r>
      <w:r>
        <w:tab/>
        <w:t>Introduce a new SIB to include a list of intended service areas and related pointer (FFS if we point to the intended services areas via the index in the list or with an ID or another way)</w:t>
      </w:r>
    </w:p>
    <w:p w14:paraId="7CB01988" w14:textId="03B48DAA" w:rsidR="00017DE8" w:rsidRDefault="00017DE8" w:rsidP="00017DE8">
      <w:pPr>
        <w:pStyle w:val="Doc-text2"/>
        <w:pBdr>
          <w:top w:val="single" w:sz="4" w:space="1" w:color="auto"/>
          <w:left w:val="single" w:sz="4" w:space="4" w:color="auto"/>
          <w:bottom w:val="single" w:sz="4" w:space="1" w:color="auto"/>
          <w:right w:val="single" w:sz="4" w:space="4" w:color="auto"/>
        </w:pBdr>
      </w:pPr>
      <w:r>
        <w:t>7.</w:t>
      </w:r>
      <w:r>
        <w:tab/>
        <w:t>The legacy SIB modification procedure is applied to update the intended service area information in the new SIB.</w:t>
      </w:r>
    </w:p>
    <w:p w14:paraId="1D19BF67" w14:textId="77777777" w:rsidR="00472184" w:rsidRDefault="00472184" w:rsidP="00FD2315">
      <w:pPr>
        <w:jc w:val="both"/>
        <w:rPr>
          <w:rFonts w:ascii="Arial" w:hAnsi="Arial" w:cs="Arial"/>
          <w:lang w:eastAsia="en-US"/>
        </w:rPr>
      </w:pPr>
    </w:p>
    <w:p w14:paraId="3DDE0141" w14:textId="71DA6C87" w:rsidR="008D0782" w:rsidRDefault="00FD2315" w:rsidP="00FD2315">
      <w:pPr>
        <w:jc w:val="both"/>
        <w:rPr>
          <w:rFonts w:ascii="Arial" w:hAnsi="Arial" w:cs="Arial"/>
          <w:lang w:eastAsia="en-US"/>
        </w:rPr>
      </w:pPr>
      <w:r w:rsidRPr="00FD2315">
        <w:rPr>
          <w:rFonts w:ascii="Arial" w:hAnsi="Arial" w:cs="Arial"/>
          <w:lang w:eastAsia="en-US"/>
        </w:rPr>
        <w:t>First of all,</w:t>
      </w:r>
      <w:r>
        <w:rPr>
          <w:rFonts w:ascii="Arial" w:hAnsi="Arial" w:cs="Arial"/>
          <w:lang w:eastAsia="en-US"/>
        </w:rPr>
        <w:t xml:space="preserve"> as it is intended in the WID,</w:t>
      </w:r>
      <w:r w:rsidRPr="00FD2315">
        <w:rPr>
          <w:rFonts w:ascii="Arial" w:hAnsi="Arial" w:cs="Arial"/>
          <w:lang w:eastAsia="en-US"/>
        </w:rPr>
        <w:t xml:space="preserve"> we should agree on supporting intend service area for ETWS message.</w:t>
      </w:r>
      <w:r>
        <w:rPr>
          <w:rFonts w:ascii="Arial" w:hAnsi="Arial" w:cs="Arial"/>
          <w:lang w:eastAsia="en-US"/>
        </w:rPr>
        <w:t xml:space="preserve"> Different from the terrestrial network, the satellite’s coverage can be vast, it can across </w:t>
      </w:r>
      <w:r>
        <w:rPr>
          <w:rFonts w:ascii="Arial" w:hAnsi="Arial" w:cs="Arial"/>
          <w:lang w:val="en-US" w:eastAsia="en-US"/>
        </w:rPr>
        <w:t>borderlines and geography areas.</w:t>
      </w:r>
      <w:r>
        <w:rPr>
          <w:rFonts w:ascii="Arial" w:hAnsi="Arial" w:cs="Arial"/>
          <w:lang w:eastAsia="en-US"/>
        </w:rPr>
        <w:t xml:space="preserve"> The ETWS message carries the emergency message like earthquake and tsunami, which can be very disturbing. It may lead to widespread panic. It is beneficial to control the service area for the broadcasted ETWS message.</w:t>
      </w:r>
      <w:r>
        <w:rPr>
          <w:rFonts w:ascii="Arial" w:hAnsi="Arial" w:cs="Arial" w:hint="eastAsia"/>
          <w:lang w:eastAsia="en-US"/>
        </w:rPr>
        <w:t xml:space="preserve"> </w:t>
      </w:r>
      <w:r w:rsidR="00BE04DD">
        <w:rPr>
          <w:rFonts w:ascii="Arial" w:hAnsi="Arial" w:cs="Arial"/>
          <w:lang w:eastAsia="en-US"/>
        </w:rPr>
        <w:t xml:space="preserve">In addition, according to SA1 replay LS </w:t>
      </w:r>
      <w:r w:rsidR="00BE04DD" w:rsidRPr="00BE04DD">
        <w:rPr>
          <w:rFonts w:ascii="Arial" w:hAnsi="Arial" w:cs="Arial"/>
          <w:lang w:eastAsia="en-US"/>
        </w:rPr>
        <w:t>S1-244857</w:t>
      </w:r>
      <w:r w:rsidR="00BE04DD">
        <w:rPr>
          <w:rFonts w:ascii="Arial" w:hAnsi="Arial" w:cs="Arial"/>
          <w:lang w:eastAsia="en-US"/>
        </w:rPr>
        <w:t xml:space="preserve"> and corresponding alignment CR </w:t>
      </w:r>
      <w:r w:rsidR="00BE04DD" w:rsidRPr="00BE04DD">
        <w:rPr>
          <w:rFonts w:ascii="Arial" w:hAnsi="Arial" w:cs="Arial"/>
          <w:lang w:eastAsia="en-US"/>
        </w:rPr>
        <w:t>S1-244753</w:t>
      </w:r>
      <w:r w:rsidR="00BE04DD">
        <w:rPr>
          <w:rFonts w:ascii="Arial" w:hAnsi="Arial" w:cs="Arial"/>
          <w:lang w:eastAsia="en-US"/>
        </w:rPr>
        <w:t xml:space="preserve">, SA1 already agreed to support </w:t>
      </w:r>
      <w:r w:rsidR="00BE04DD" w:rsidRPr="00BE04DD">
        <w:rPr>
          <w:rFonts w:ascii="Arial" w:hAnsi="Arial" w:cs="Arial"/>
          <w:lang w:eastAsia="en-US"/>
        </w:rPr>
        <w:t>intended service area</w:t>
      </w:r>
      <w:r w:rsidR="00BE04DD">
        <w:rPr>
          <w:rFonts w:ascii="Arial" w:hAnsi="Arial" w:cs="Arial"/>
          <w:lang w:eastAsia="en-US"/>
        </w:rPr>
        <w:t xml:space="preserve"> for ETWS.</w:t>
      </w:r>
    </w:p>
    <w:p w14:paraId="43638370" w14:textId="1B5C0A17" w:rsidR="00FD2315" w:rsidRPr="00FD2315" w:rsidRDefault="00FD2315" w:rsidP="00FD2315">
      <w:pPr>
        <w:jc w:val="both"/>
        <w:rPr>
          <w:rFonts w:ascii="Arial" w:hAnsi="Arial" w:cs="Arial"/>
          <w:lang w:eastAsia="en-US"/>
        </w:rPr>
      </w:pPr>
      <w:r>
        <w:rPr>
          <w:rFonts w:ascii="Arial" w:hAnsi="Arial" w:cs="Arial"/>
          <w:lang w:eastAsia="en-US"/>
        </w:rPr>
        <w:lastRenderedPageBreak/>
        <w:t>Pr</w:t>
      </w:r>
      <w:r w:rsidRPr="00FD2315">
        <w:rPr>
          <w:rFonts w:ascii="Arial" w:hAnsi="Arial" w:cs="Arial"/>
          <w:lang w:eastAsia="en-US"/>
        </w:rPr>
        <w:t>imary ETWS is designed to send brief warning messages to user equipment as quickly as possible during emergencies. Its main goal is to immediately capture the user's attention, making them aware of the urgent situation.</w:t>
      </w:r>
      <w:r>
        <w:rPr>
          <w:rFonts w:ascii="Arial" w:hAnsi="Arial" w:cs="Arial"/>
          <w:lang w:eastAsia="en-US"/>
        </w:rPr>
        <w:t xml:space="preserve"> </w:t>
      </w:r>
      <w:r w:rsidRPr="00FD2315">
        <w:rPr>
          <w:rFonts w:ascii="Arial" w:hAnsi="Arial" w:cs="Arial"/>
          <w:lang w:eastAsia="en-US"/>
        </w:rPr>
        <w:t>Secondary ETWS follows the initial alert by providing detailed emergency information and guidance, helping users understand the specific circumstances and the actions they should take.</w:t>
      </w:r>
      <w:r>
        <w:rPr>
          <w:rFonts w:ascii="Arial" w:hAnsi="Arial" w:cs="Arial"/>
          <w:lang w:eastAsia="en-US"/>
        </w:rPr>
        <w:t xml:space="preserve"> </w:t>
      </w:r>
      <w:r w:rsidRPr="00FD2315">
        <w:rPr>
          <w:rFonts w:ascii="Arial" w:hAnsi="Arial" w:cs="Arial"/>
          <w:lang w:eastAsia="en-US"/>
        </w:rPr>
        <w:t>Together, they complement each other to form the complete ETWS warning mechanism, ensuring that during emergencies, users can swiftly receive alerts and obtain the necessary information to take appropriate measures.</w:t>
      </w:r>
      <w:r>
        <w:rPr>
          <w:rFonts w:ascii="Arial" w:hAnsi="Arial" w:cs="Arial"/>
          <w:lang w:eastAsia="en-US"/>
        </w:rPr>
        <w:t xml:space="preserve"> Therefore, only one copy of intend service area is needed for the primary ETWS and secondary ETWS. </w:t>
      </w:r>
      <w:r w:rsidRPr="00FD2315">
        <w:rPr>
          <w:rFonts w:ascii="Arial" w:hAnsi="Arial" w:cs="Arial"/>
          <w:lang w:eastAsia="en-US"/>
        </w:rPr>
        <w:t>To minimize disturbance to the user</w:t>
      </w:r>
      <w:r>
        <w:rPr>
          <w:rFonts w:ascii="Arial" w:hAnsi="Arial" w:cs="Arial"/>
          <w:lang w:eastAsia="en-US"/>
        </w:rPr>
        <w:t>, the intend service area should be provided together with primary ETWS.</w:t>
      </w:r>
    </w:p>
    <w:p w14:paraId="30905E6F" w14:textId="2D1BE866" w:rsidR="00FD2315" w:rsidRDefault="00FD2315" w:rsidP="00FD2315">
      <w:pPr>
        <w:jc w:val="both"/>
        <w:rPr>
          <w:rFonts w:ascii="Arial" w:hAnsi="Arial" w:cs="Arial"/>
          <w:b/>
          <w:bCs/>
          <w:lang w:eastAsia="en-US"/>
        </w:rPr>
      </w:pPr>
      <w:r w:rsidRPr="00FD2315">
        <w:rPr>
          <w:rFonts w:ascii="Arial" w:hAnsi="Arial" w:cs="Arial"/>
          <w:b/>
          <w:bCs/>
          <w:lang w:eastAsia="en-US"/>
        </w:rPr>
        <w:t xml:space="preserve">Proposal 2: </w:t>
      </w:r>
      <w:r w:rsidR="0054382F">
        <w:rPr>
          <w:rFonts w:ascii="Arial" w:hAnsi="Arial" w:cs="Arial"/>
          <w:b/>
          <w:bCs/>
          <w:lang w:eastAsia="en-US"/>
        </w:rPr>
        <w:t>The i</w:t>
      </w:r>
      <w:r w:rsidRPr="00FD2315">
        <w:rPr>
          <w:rFonts w:ascii="Arial" w:hAnsi="Arial" w:cs="Arial"/>
          <w:b/>
          <w:bCs/>
          <w:lang w:eastAsia="en-US"/>
        </w:rPr>
        <w:t>ntended service area is supported for primary ETWS.</w:t>
      </w:r>
    </w:p>
    <w:p w14:paraId="4FE87C39" w14:textId="3FE5245E" w:rsidR="00472184" w:rsidRPr="00FD2315" w:rsidRDefault="00FD2315" w:rsidP="00F97A40">
      <w:pPr>
        <w:rPr>
          <w:rFonts w:ascii="Arial" w:eastAsia="SimSun" w:hAnsi="Arial" w:cs="Arial"/>
          <w:b/>
          <w:bCs/>
          <w:lang w:eastAsia="zh-CN"/>
        </w:rPr>
      </w:pPr>
      <w:r>
        <w:rPr>
          <w:rFonts w:ascii="Arial" w:eastAsia="SimSun" w:hAnsi="Arial" w:cs="Arial" w:hint="eastAsia"/>
          <w:b/>
          <w:bCs/>
          <w:lang w:eastAsia="zh-CN"/>
        </w:rPr>
        <w:t>P</w:t>
      </w:r>
      <w:r>
        <w:rPr>
          <w:rFonts w:ascii="Arial" w:eastAsia="SimSun" w:hAnsi="Arial" w:cs="Arial"/>
          <w:b/>
          <w:bCs/>
          <w:lang w:eastAsia="zh-CN"/>
        </w:rPr>
        <w:t>roposal 3: The intend</w:t>
      </w:r>
      <w:r w:rsidR="0054382F">
        <w:rPr>
          <w:rFonts w:ascii="Arial" w:eastAsia="SimSun" w:hAnsi="Arial" w:cs="Arial"/>
          <w:b/>
          <w:bCs/>
          <w:lang w:eastAsia="zh-CN"/>
        </w:rPr>
        <w:t>ed</w:t>
      </w:r>
      <w:r>
        <w:rPr>
          <w:rFonts w:ascii="Arial" w:eastAsia="SimSun" w:hAnsi="Arial" w:cs="Arial"/>
          <w:b/>
          <w:bCs/>
          <w:lang w:eastAsia="zh-CN"/>
        </w:rPr>
        <w:t xml:space="preserve"> service area is provided in SIB10-NB.</w:t>
      </w:r>
    </w:p>
    <w:p w14:paraId="5FF2457F" w14:textId="72E1A9E3" w:rsidR="00A209D6" w:rsidRPr="000141F3" w:rsidRDefault="008C3057" w:rsidP="00D4005F">
      <w:pPr>
        <w:pStyle w:val="Heading1"/>
        <w:jc w:val="both"/>
        <w:rPr>
          <w:rFonts w:cs="Arial"/>
        </w:rPr>
      </w:pPr>
      <w:r w:rsidRPr="000141F3">
        <w:rPr>
          <w:rFonts w:cs="Arial"/>
        </w:rPr>
        <w:t>Conclusion</w:t>
      </w:r>
    </w:p>
    <w:p w14:paraId="51177125" w14:textId="77777777" w:rsidR="00FD2315" w:rsidRDefault="00FD2315" w:rsidP="00FD2315">
      <w:pPr>
        <w:jc w:val="both"/>
        <w:rPr>
          <w:rFonts w:ascii="Arial" w:hAnsi="Arial" w:cs="Arial"/>
          <w:b/>
          <w:bCs/>
          <w:lang w:eastAsia="en-US"/>
        </w:rPr>
      </w:pPr>
      <w:bookmarkStart w:id="6" w:name="OLE_LINK34"/>
      <w:r w:rsidRPr="00395CDE">
        <w:rPr>
          <w:rFonts w:ascii="Arial" w:hAnsi="Arial" w:cs="Arial" w:hint="eastAsia"/>
          <w:b/>
          <w:bCs/>
          <w:lang w:eastAsia="en-US"/>
        </w:rPr>
        <w:t>P</w:t>
      </w:r>
      <w:r w:rsidRPr="00395CDE">
        <w:rPr>
          <w:rFonts w:ascii="Arial" w:hAnsi="Arial" w:cs="Arial"/>
          <w:b/>
          <w:bCs/>
          <w:lang w:eastAsia="en-US"/>
        </w:rPr>
        <w:t>roposal 1: SIB1-NB acquisition is needed after receiv</w:t>
      </w:r>
      <w:r>
        <w:rPr>
          <w:rFonts w:ascii="Arial" w:hAnsi="Arial" w:cs="Arial"/>
          <w:b/>
          <w:bCs/>
          <w:lang w:eastAsia="en-US"/>
        </w:rPr>
        <w:t>ing</w:t>
      </w:r>
      <w:r w:rsidRPr="00395CDE">
        <w:rPr>
          <w:rFonts w:ascii="Arial" w:hAnsi="Arial" w:cs="Arial"/>
          <w:b/>
          <w:bCs/>
          <w:lang w:eastAsia="en-US"/>
        </w:rPr>
        <w:t xml:space="preserve"> the PWS notification.</w:t>
      </w:r>
    </w:p>
    <w:p w14:paraId="370BF43A" w14:textId="3F3CFE02" w:rsidR="00FD2315" w:rsidRDefault="00FD2315" w:rsidP="00FD2315">
      <w:pPr>
        <w:jc w:val="both"/>
        <w:rPr>
          <w:rFonts w:ascii="Arial" w:hAnsi="Arial" w:cs="Arial"/>
          <w:b/>
          <w:bCs/>
          <w:lang w:eastAsia="en-US"/>
        </w:rPr>
      </w:pPr>
      <w:r w:rsidRPr="00FD2315">
        <w:rPr>
          <w:rFonts w:ascii="Arial" w:hAnsi="Arial" w:cs="Arial"/>
          <w:b/>
          <w:bCs/>
          <w:lang w:eastAsia="en-US"/>
        </w:rPr>
        <w:t xml:space="preserve">Proposal 2: </w:t>
      </w:r>
      <w:r w:rsidR="0054382F">
        <w:rPr>
          <w:rFonts w:ascii="Arial" w:hAnsi="Arial" w:cs="Arial"/>
          <w:b/>
          <w:bCs/>
          <w:lang w:eastAsia="en-US"/>
        </w:rPr>
        <w:t>The i</w:t>
      </w:r>
      <w:r w:rsidRPr="00FD2315">
        <w:rPr>
          <w:rFonts w:ascii="Arial" w:hAnsi="Arial" w:cs="Arial"/>
          <w:b/>
          <w:bCs/>
          <w:lang w:eastAsia="en-US"/>
        </w:rPr>
        <w:t>ntended service area is supported for primary ETWS.</w:t>
      </w:r>
    </w:p>
    <w:p w14:paraId="48D59508" w14:textId="2AA9671A" w:rsidR="00472184" w:rsidRPr="00F3009B" w:rsidRDefault="00FD2315" w:rsidP="00FD2315">
      <w:pPr>
        <w:rPr>
          <w:rFonts w:ascii="Arial" w:eastAsia="SimSun" w:hAnsi="Arial" w:cs="Arial"/>
          <w:b/>
          <w:bCs/>
          <w:lang w:eastAsia="zh-CN"/>
        </w:rPr>
      </w:pPr>
      <w:r>
        <w:rPr>
          <w:rFonts w:ascii="Arial" w:eastAsia="SimSun" w:hAnsi="Arial" w:cs="Arial" w:hint="eastAsia"/>
          <w:b/>
          <w:bCs/>
          <w:lang w:eastAsia="zh-CN"/>
        </w:rPr>
        <w:t>P</w:t>
      </w:r>
      <w:r>
        <w:rPr>
          <w:rFonts w:ascii="Arial" w:eastAsia="SimSun" w:hAnsi="Arial" w:cs="Arial"/>
          <w:b/>
          <w:bCs/>
          <w:lang w:eastAsia="zh-CN"/>
        </w:rPr>
        <w:t>roposal 3: The intend</w:t>
      </w:r>
      <w:r w:rsidR="0054382F">
        <w:rPr>
          <w:rFonts w:ascii="Arial" w:eastAsia="SimSun" w:hAnsi="Arial" w:cs="Arial"/>
          <w:b/>
          <w:bCs/>
          <w:lang w:eastAsia="zh-CN"/>
        </w:rPr>
        <w:t>ed</w:t>
      </w:r>
      <w:r>
        <w:rPr>
          <w:rFonts w:ascii="Arial" w:eastAsia="SimSun" w:hAnsi="Arial" w:cs="Arial"/>
          <w:b/>
          <w:bCs/>
          <w:lang w:eastAsia="zh-CN"/>
        </w:rPr>
        <w:t xml:space="preserve"> service area is provided in SIB10-NB.</w:t>
      </w:r>
    </w:p>
    <w:p w14:paraId="52BC8AB8" w14:textId="77777777" w:rsidR="00795823" w:rsidRPr="000141F3" w:rsidRDefault="00795823" w:rsidP="00D4005F">
      <w:pPr>
        <w:pStyle w:val="Heading1"/>
        <w:jc w:val="both"/>
        <w:rPr>
          <w:rFonts w:cs="Arial"/>
        </w:rPr>
      </w:pPr>
      <w:r w:rsidRPr="000141F3">
        <w:rPr>
          <w:rFonts w:cs="Arial"/>
        </w:rPr>
        <w:t>References</w:t>
      </w:r>
    </w:p>
    <w:bookmarkEnd w:id="6"/>
    <w:p w14:paraId="5F3FE008" w14:textId="23F9A28A" w:rsidR="000621B5" w:rsidRDefault="000621B5" w:rsidP="000621B5">
      <w:pPr>
        <w:spacing w:after="60"/>
        <w:rPr>
          <w:rFonts w:ascii="Arial" w:hAnsi="Arial" w:cs="Arial"/>
          <w:lang w:eastAsia="ko-KR"/>
        </w:rPr>
      </w:pPr>
      <w:r>
        <w:rPr>
          <w:rFonts w:ascii="Arial" w:hAnsi="Arial" w:cs="Arial"/>
          <w:lang w:val="en-US" w:eastAsia="ko-KR"/>
        </w:rPr>
        <w:t>[</w:t>
      </w:r>
      <w:r>
        <w:rPr>
          <w:rFonts w:ascii="Arial" w:hAnsi="Arial" w:cs="Arial"/>
          <w:lang w:eastAsia="ko-KR"/>
        </w:rPr>
        <w:t xml:space="preserve">1] </w:t>
      </w:r>
      <w:r w:rsidR="00C10173" w:rsidRPr="00C10173">
        <w:rPr>
          <w:rFonts w:ascii="Arial" w:hAnsi="Arial" w:cs="Arial"/>
          <w:lang w:eastAsia="ko-KR"/>
        </w:rPr>
        <w:t>RP-</w:t>
      </w:r>
      <w:r w:rsidR="004C261F" w:rsidRPr="004C261F">
        <w:rPr>
          <w:rFonts w:ascii="Arial" w:hAnsi="Arial" w:cs="Arial"/>
          <w:lang w:eastAsia="ko-KR"/>
        </w:rPr>
        <w:t>242397</w:t>
      </w:r>
      <w:r>
        <w:rPr>
          <w:rFonts w:ascii="Arial" w:hAnsi="Arial" w:cs="Arial"/>
          <w:lang w:eastAsia="ko-KR"/>
        </w:rPr>
        <w:t>, “Revised WID on Non-Terrestrial Networks (NTN) for Internet of Things (IoT) Phase 3”, Rapporteur (MediaTek)</w:t>
      </w:r>
    </w:p>
    <w:sectPr w:rsidR="000621B5"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DB99" w14:textId="77777777" w:rsidR="008108E8" w:rsidRDefault="008108E8">
      <w:r>
        <w:separator/>
      </w:r>
    </w:p>
  </w:endnote>
  <w:endnote w:type="continuationSeparator" w:id="0">
    <w:p w14:paraId="64E940EB" w14:textId="77777777" w:rsidR="008108E8" w:rsidRDefault="008108E8">
      <w:r>
        <w:continuationSeparator/>
      </w:r>
    </w:p>
  </w:endnote>
  <w:endnote w:type="continuationNotice" w:id="1">
    <w:p w14:paraId="4ED5E662" w14:textId="77777777" w:rsidR="008108E8" w:rsidRDefault="00810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5CDA" w14:textId="77777777" w:rsidR="008108E8" w:rsidRDefault="008108E8">
      <w:r>
        <w:separator/>
      </w:r>
    </w:p>
  </w:footnote>
  <w:footnote w:type="continuationSeparator" w:id="0">
    <w:p w14:paraId="5A623CA7" w14:textId="77777777" w:rsidR="008108E8" w:rsidRDefault="008108E8">
      <w:r>
        <w:continuationSeparator/>
      </w:r>
    </w:p>
  </w:footnote>
  <w:footnote w:type="continuationNotice" w:id="1">
    <w:p w14:paraId="5A6A138F" w14:textId="77777777" w:rsidR="008108E8" w:rsidRDefault="008108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49C9"/>
    <w:multiLevelType w:val="hybridMultilevel"/>
    <w:tmpl w:val="1214EC0C"/>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4" w15:restartNumberingAfterBreak="0">
    <w:nsid w:val="26DD21DF"/>
    <w:multiLevelType w:val="hybridMultilevel"/>
    <w:tmpl w:val="568CBB1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B355A5B"/>
    <w:multiLevelType w:val="hybridMultilevel"/>
    <w:tmpl w:val="17A0C4FA"/>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6"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D5A10"/>
    <w:multiLevelType w:val="hybridMultilevel"/>
    <w:tmpl w:val="B8CCEA62"/>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0" w15:restartNumberingAfterBreak="0">
    <w:nsid w:val="3CF96F3A"/>
    <w:multiLevelType w:val="hybridMultilevel"/>
    <w:tmpl w:val="898AFB74"/>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hybridMultilevel"/>
    <w:tmpl w:val="4F7801C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1"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29"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21"/>
  </w:num>
  <w:num w:numId="2" w16cid:durableId="1927497324">
    <w:abstractNumId w:val="18"/>
  </w:num>
  <w:num w:numId="3" w16cid:durableId="1533493282">
    <w:abstractNumId w:val="8"/>
  </w:num>
  <w:num w:numId="4" w16cid:durableId="598686884">
    <w:abstractNumId w:val="29"/>
  </w:num>
  <w:num w:numId="5" w16cid:durableId="363409581">
    <w:abstractNumId w:val="22"/>
  </w:num>
  <w:num w:numId="6" w16cid:durableId="1830902012">
    <w:abstractNumId w:val="19"/>
  </w:num>
  <w:num w:numId="7" w16cid:durableId="1579093480">
    <w:abstractNumId w:val="7"/>
  </w:num>
  <w:num w:numId="8" w16cid:durableId="15435947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1"/>
  </w:num>
  <w:num w:numId="10" w16cid:durableId="1680230756">
    <w:abstractNumId w:val="21"/>
  </w:num>
  <w:num w:numId="11" w16cid:durableId="1597709860">
    <w:abstractNumId w:val="21"/>
  </w:num>
  <w:num w:numId="12" w16cid:durableId="2089301454">
    <w:abstractNumId w:val="21"/>
  </w:num>
  <w:num w:numId="13" w16cid:durableId="2143695296">
    <w:abstractNumId w:val="1"/>
  </w:num>
  <w:num w:numId="14" w16cid:durableId="1967734765">
    <w:abstractNumId w:val="25"/>
  </w:num>
  <w:num w:numId="15" w16cid:durableId="1677345340">
    <w:abstractNumId w:val="11"/>
  </w:num>
  <w:num w:numId="16" w16cid:durableId="1231388242">
    <w:abstractNumId w:val="20"/>
  </w:num>
  <w:num w:numId="17" w16cid:durableId="1833596593">
    <w:abstractNumId w:val="27"/>
  </w:num>
  <w:num w:numId="18" w16cid:durableId="1185360059">
    <w:abstractNumId w:val="6"/>
  </w:num>
  <w:num w:numId="19" w16cid:durableId="524709119">
    <w:abstractNumId w:val="1"/>
  </w:num>
  <w:num w:numId="20" w16cid:durableId="2127390062">
    <w:abstractNumId w:val="26"/>
  </w:num>
  <w:num w:numId="21" w16cid:durableId="163857901">
    <w:abstractNumId w:val="13"/>
  </w:num>
  <w:num w:numId="22" w16cid:durableId="2061518551">
    <w:abstractNumId w:val="24"/>
  </w:num>
  <w:num w:numId="23" w16cid:durableId="96756010">
    <w:abstractNumId w:val="2"/>
  </w:num>
  <w:num w:numId="24" w16cid:durableId="11883709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1"/>
  </w:num>
  <w:num w:numId="26" w16cid:durableId="1930775918">
    <w:abstractNumId w:val="17"/>
  </w:num>
  <w:num w:numId="27" w16cid:durableId="701978395">
    <w:abstractNumId w:val="15"/>
  </w:num>
  <w:num w:numId="28" w16cid:durableId="662049110">
    <w:abstractNumId w:val="14"/>
  </w:num>
  <w:num w:numId="29" w16cid:durableId="1275820582">
    <w:abstractNumId w:val="23"/>
  </w:num>
  <w:num w:numId="30" w16cid:durableId="1618684507">
    <w:abstractNumId w:val="12"/>
  </w:num>
  <w:num w:numId="31" w16cid:durableId="2042511363">
    <w:abstractNumId w:val="28"/>
  </w:num>
  <w:num w:numId="32" w16cid:durableId="459418768">
    <w:abstractNumId w:val="23"/>
  </w:num>
  <w:num w:numId="33" w16cid:durableId="41712309">
    <w:abstractNumId w:val="16"/>
  </w:num>
  <w:num w:numId="34" w16cid:durableId="1163278855">
    <w:abstractNumId w:val="3"/>
  </w:num>
  <w:num w:numId="35" w16cid:durableId="1575626698">
    <w:abstractNumId w:val="17"/>
  </w:num>
  <w:num w:numId="36" w16cid:durableId="1531256731">
    <w:abstractNumId w:val="4"/>
  </w:num>
  <w:num w:numId="37" w16cid:durableId="1156341485">
    <w:abstractNumId w:val="0"/>
  </w:num>
  <w:num w:numId="38" w16cid:durableId="257491384">
    <w:abstractNumId w:val="9"/>
  </w:num>
  <w:num w:numId="39" w16cid:durableId="1064791278">
    <w:abstractNumId w:val="5"/>
  </w:num>
  <w:num w:numId="40" w16cid:durableId="23994834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57"/>
    <w:rsid w:val="000167AB"/>
    <w:rsid w:val="00017DE8"/>
    <w:rsid w:val="00022927"/>
    <w:rsid w:val="00023C40"/>
    <w:rsid w:val="00025377"/>
    <w:rsid w:val="00025423"/>
    <w:rsid w:val="0002599D"/>
    <w:rsid w:val="00026BFC"/>
    <w:rsid w:val="00027055"/>
    <w:rsid w:val="00027DC5"/>
    <w:rsid w:val="000302F2"/>
    <w:rsid w:val="00031590"/>
    <w:rsid w:val="000322BE"/>
    <w:rsid w:val="00032642"/>
    <w:rsid w:val="00032F70"/>
    <w:rsid w:val="00033397"/>
    <w:rsid w:val="00035DF0"/>
    <w:rsid w:val="000361BA"/>
    <w:rsid w:val="000375A6"/>
    <w:rsid w:val="00037B8F"/>
    <w:rsid w:val="00040095"/>
    <w:rsid w:val="000403D7"/>
    <w:rsid w:val="00040932"/>
    <w:rsid w:val="0004169F"/>
    <w:rsid w:val="00042C77"/>
    <w:rsid w:val="0004357F"/>
    <w:rsid w:val="00044431"/>
    <w:rsid w:val="0004585B"/>
    <w:rsid w:val="00045C90"/>
    <w:rsid w:val="00046FAB"/>
    <w:rsid w:val="00051A55"/>
    <w:rsid w:val="00051D35"/>
    <w:rsid w:val="00053CA9"/>
    <w:rsid w:val="0005588D"/>
    <w:rsid w:val="00055CD4"/>
    <w:rsid w:val="00055CEC"/>
    <w:rsid w:val="0005647B"/>
    <w:rsid w:val="000576EE"/>
    <w:rsid w:val="00057F22"/>
    <w:rsid w:val="000621B5"/>
    <w:rsid w:val="000627CA"/>
    <w:rsid w:val="00065268"/>
    <w:rsid w:val="00066DB6"/>
    <w:rsid w:val="00070BD9"/>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A014D"/>
    <w:rsid w:val="000A21ED"/>
    <w:rsid w:val="000A4A5F"/>
    <w:rsid w:val="000A4C20"/>
    <w:rsid w:val="000A60C3"/>
    <w:rsid w:val="000B0115"/>
    <w:rsid w:val="000B01BB"/>
    <w:rsid w:val="000B02F8"/>
    <w:rsid w:val="000B0BF3"/>
    <w:rsid w:val="000B0EF0"/>
    <w:rsid w:val="000B1752"/>
    <w:rsid w:val="000B1FF2"/>
    <w:rsid w:val="000B31A7"/>
    <w:rsid w:val="000B40D8"/>
    <w:rsid w:val="000B4877"/>
    <w:rsid w:val="000B6020"/>
    <w:rsid w:val="000B6398"/>
    <w:rsid w:val="000B69D6"/>
    <w:rsid w:val="000B7BCF"/>
    <w:rsid w:val="000C18FE"/>
    <w:rsid w:val="000C522B"/>
    <w:rsid w:val="000C756E"/>
    <w:rsid w:val="000D1D35"/>
    <w:rsid w:val="000D3336"/>
    <w:rsid w:val="000D3F8F"/>
    <w:rsid w:val="000D4B95"/>
    <w:rsid w:val="000D58AB"/>
    <w:rsid w:val="000D64F1"/>
    <w:rsid w:val="000D6E3F"/>
    <w:rsid w:val="000D75DC"/>
    <w:rsid w:val="000D7FA6"/>
    <w:rsid w:val="000E01FF"/>
    <w:rsid w:val="000E0584"/>
    <w:rsid w:val="000E37C4"/>
    <w:rsid w:val="000E3934"/>
    <w:rsid w:val="000E4069"/>
    <w:rsid w:val="000E5108"/>
    <w:rsid w:val="000E6FF8"/>
    <w:rsid w:val="000F481F"/>
    <w:rsid w:val="000F526A"/>
    <w:rsid w:val="000F57DC"/>
    <w:rsid w:val="000F6A70"/>
    <w:rsid w:val="000F6CE7"/>
    <w:rsid w:val="000F7A11"/>
    <w:rsid w:val="00100327"/>
    <w:rsid w:val="00100BA1"/>
    <w:rsid w:val="00101157"/>
    <w:rsid w:val="001011C1"/>
    <w:rsid w:val="00101E2A"/>
    <w:rsid w:val="0010368C"/>
    <w:rsid w:val="00103DC3"/>
    <w:rsid w:val="001055BA"/>
    <w:rsid w:val="00105BF3"/>
    <w:rsid w:val="00105EBA"/>
    <w:rsid w:val="00112BE7"/>
    <w:rsid w:val="00112F1A"/>
    <w:rsid w:val="001174C1"/>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9B0"/>
    <w:rsid w:val="00171DA1"/>
    <w:rsid w:val="00171E77"/>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6A2"/>
    <w:rsid w:val="001A7CE1"/>
    <w:rsid w:val="001B01CC"/>
    <w:rsid w:val="001B1942"/>
    <w:rsid w:val="001B1E91"/>
    <w:rsid w:val="001B1FA7"/>
    <w:rsid w:val="001B23A8"/>
    <w:rsid w:val="001B287F"/>
    <w:rsid w:val="001B3311"/>
    <w:rsid w:val="001B349E"/>
    <w:rsid w:val="001B3AA2"/>
    <w:rsid w:val="001B49C9"/>
    <w:rsid w:val="001B5E2E"/>
    <w:rsid w:val="001C0608"/>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126A"/>
    <w:rsid w:val="001F168B"/>
    <w:rsid w:val="001F2C0D"/>
    <w:rsid w:val="001F2FF2"/>
    <w:rsid w:val="001F4CAA"/>
    <w:rsid w:val="001F7831"/>
    <w:rsid w:val="00200704"/>
    <w:rsid w:val="002025E1"/>
    <w:rsid w:val="00203A5D"/>
    <w:rsid w:val="00204045"/>
    <w:rsid w:val="00206161"/>
    <w:rsid w:val="0020712B"/>
    <w:rsid w:val="00210CB8"/>
    <w:rsid w:val="0021231D"/>
    <w:rsid w:val="00212942"/>
    <w:rsid w:val="00213DFA"/>
    <w:rsid w:val="00214804"/>
    <w:rsid w:val="00216876"/>
    <w:rsid w:val="002171B2"/>
    <w:rsid w:val="002207D5"/>
    <w:rsid w:val="00220815"/>
    <w:rsid w:val="00220E94"/>
    <w:rsid w:val="002219AC"/>
    <w:rsid w:val="00223FCA"/>
    <w:rsid w:val="00223FD6"/>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0F1"/>
    <w:rsid w:val="00287326"/>
    <w:rsid w:val="00290336"/>
    <w:rsid w:val="00291966"/>
    <w:rsid w:val="00292FC9"/>
    <w:rsid w:val="002959F8"/>
    <w:rsid w:val="002A18FD"/>
    <w:rsid w:val="002A2342"/>
    <w:rsid w:val="002A3017"/>
    <w:rsid w:val="002A32C4"/>
    <w:rsid w:val="002A3860"/>
    <w:rsid w:val="002A47CF"/>
    <w:rsid w:val="002A56F3"/>
    <w:rsid w:val="002A5FA5"/>
    <w:rsid w:val="002A7486"/>
    <w:rsid w:val="002A7C84"/>
    <w:rsid w:val="002B1D88"/>
    <w:rsid w:val="002B3354"/>
    <w:rsid w:val="002B38BE"/>
    <w:rsid w:val="002B398D"/>
    <w:rsid w:val="002B44B8"/>
    <w:rsid w:val="002B6A93"/>
    <w:rsid w:val="002B7898"/>
    <w:rsid w:val="002C20D8"/>
    <w:rsid w:val="002C69AA"/>
    <w:rsid w:val="002C7D04"/>
    <w:rsid w:val="002D0914"/>
    <w:rsid w:val="002D093F"/>
    <w:rsid w:val="002D1160"/>
    <w:rsid w:val="002D2AD6"/>
    <w:rsid w:val="002D2C29"/>
    <w:rsid w:val="002D2CA2"/>
    <w:rsid w:val="002D52F0"/>
    <w:rsid w:val="002D5435"/>
    <w:rsid w:val="002D657A"/>
    <w:rsid w:val="002E2BDC"/>
    <w:rsid w:val="002E423E"/>
    <w:rsid w:val="002E79BB"/>
    <w:rsid w:val="002E7FB9"/>
    <w:rsid w:val="002F0390"/>
    <w:rsid w:val="002F0D22"/>
    <w:rsid w:val="002F12A5"/>
    <w:rsid w:val="00301508"/>
    <w:rsid w:val="00301AC5"/>
    <w:rsid w:val="00305DAA"/>
    <w:rsid w:val="00306241"/>
    <w:rsid w:val="003073B9"/>
    <w:rsid w:val="00310D9A"/>
    <w:rsid w:val="0031130A"/>
    <w:rsid w:val="00311AAC"/>
    <w:rsid w:val="00311B17"/>
    <w:rsid w:val="003133F1"/>
    <w:rsid w:val="00314549"/>
    <w:rsid w:val="003172DC"/>
    <w:rsid w:val="0032086B"/>
    <w:rsid w:val="00320AC5"/>
    <w:rsid w:val="00323D2C"/>
    <w:rsid w:val="003243BA"/>
    <w:rsid w:val="00324E66"/>
    <w:rsid w:val="003255FD"/>
    <w:rsid w:val="00325AE3"/>
    <w:rsid w:val="00326069"/>
    <w:rsid w:val="003268BF"/>
    <w:rsid w:val="00327E5D"/>
    <w:rsid w:val="00332B64"/>
    <w:rsid w:val="00333345"/>
    <w:rsid w:val="00334CF7"/>
    <w:rsid w:val="00335A5E"/>
    <w:rsid w:val="00336192"/>
    <w:rsid w:val="00337035"/>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6CF3"/>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5CDE"/>
    <w:rsid w:val="003972FF"/>
    <w:rsid w:val="003A133F"/>
    <w:rsid w:val="003A229C"/>
    <w:rsid w:val="003A2DA2"/>
    <w:rsid w:val="003A41EF"/>
    <w:rsid w:val="003A527F"/>
    <w:rsid w:val="003A565C"/>
    <w:rsid w:val="003B0E8A"/>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6BD"/>
    <w:rsid w:val="003F2920"/>
    <w:rsid w:val="003F3214"/>
    <w:rsid w:val="003F4E28"/>
    <w:rsid w:val="003F754C"/>
    <w:rsid w:val="004006E8"/>
    <w:rsid w:val="004007D5"/>
    <w:rsid w:val="00401855"/>
    <w:rsid w:val="00401B4E"/>
    <w:rsid w:val="0040228D"/>
    <w:rsid w:val="004048C7"/>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D4C"/>
    <w:rsid w:val="00465587"/>
    <w:rsid w:val="004657C7"/>
    <w:rsid w:val="00465E59"/>
    <w:rsid w:val="00466942"/>
    <w:rsid w:val="0046720C"/>
    <w:rsid w:val="00467F8A"/>
    <w:rsid w:val="0047086C"/>
    <w:rsid w:val="00472184"/>
    <w:rsid w:val="0047342E"/>
    <w:rsid w:val="00473550"/>
    <w:rsid w:val="00477455"/>
    <w:rsid w:val="004779FB"/>
    <w:rsid w:val="00483A20"/>
    <w:rsid w:val="0048532D"/>
    <w:rsid w:val="00486A7B"/>
    <w:rsid w:val="00487060"/>
    <w:rsid w:val="004901A6"/>
    <w:rsid w:val="00490653"/>
    <w:rsid w:val="00490C92"/>
    <w:rsid w:val="004937F8"/>
    <w:rsid w:val="00493A0E"/>
    <w:rsid w:val="00494595"/>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32EB"/>
    <w:rsid w:val="004B77BE"/>
    <w:rsid w:val="004C05C7"/>
    <w:rsid w:val="004C0C6E"/>
    <w:rsid w:val="004C1E2A"/>
    <w:rsid w:val="004C25E8"/>
    <w:rsid w:val="004C261F"/>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E7DE4"/>
    <w:rsid w:val="004F10E9"/>
    <w:rsid w:val="004F2E59"/>
    <w:rsid w:val="004F3ADA"/>
    <w:rsid w:val="004F4048"/>
    <w:rsid w:val="004F4350"/>
    <w:rsid w:val="004F4529"/>
    <w:rsid w:val="004F4540"/>
    <w:rsid w:val="004F73A7"/>
    <w:rsid w:val="00500D68"/>
    <w:rsid w:val="00501D49"/>
    <w:rsid w:val="00503171"/>
    <w:rsid w:val="00503CB5"/>
    <w:rsid w:val="00506C28"/>
    <w:rsid w:val="005075B6"/>
    <w:rsid w:val="0051041D"/>
    <w:rsid w:val="005126FC"/>
    <w:rsid w:val="00516A0D"/>
    <w:rsid w:val="00520BC6"/>
    <w:rsid w:val="005214BC"/>
    <w:rsid w:val="005268DD"/>
    <w:rsid w:val="00527C31"/>
    <w:rsid w:val="00527F2A"/>
    <w:rsid w:val="00531049"/>
    <w:rsid w:val="00533D67"/>
    <w:rsid w:val="005349C2"/>
    <w:rsid w:val="00534DA0"/>
    <w:rsid w:val="00534F0D"/>
    <w:rsid w:val="00535EC5"/>
    <w:rsid w:val="00536A0E"/>
    <w:rsid w:val="00542000"/>
    <w:rsid w:val="0054382F"/>
    <w:rsid w:val="00543E6C"/>
    <w:rsid w:val="00547A10"/>
    <w:rsid w:val="005501CD"/>
    <w:rsid w:val="00551763"/>
    <w:rsid w:val="0055422F"/>
    <w:rsid w:val="00555070"/>
    <w:rsid w:val="00557338"/>
    <w:rsid w:val="00557839"/>
    <w:rsid w:val="005625DD"/>
    <w:rsid w:val="005642A1"/>
    <w:rsid w:val="00565087"/>
    <w:rsid w:val="005652F1"/>
    <w:rsid w:val="0056573F"/>
    <w:rsid w:val="00566239"/>
    <w:rsid w:val="0056656C"/>
    <w:rsid w:val="00571279"/>
    <w:rsid w:val="00571DF5"/>
    <w:rsid w:val="00572564"/>
    <w:rsid w:val="005738A1"/>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3767"/>
    <w:rsid w:val="005A49C6"/>
    <w:rsid w:val="005A4D6D"/>
    <w:rsid w:val="005A53B0"/>
    <w:rsid w:val="005A68D5"/>
    <w:rsid w:val="005A6CA2"/>
    <w:rsid w:val="005B015F"/>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E7D9E"/>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26EA6"/>
    <w:rsid w:val="00631358"/>
    <w:rsid w:val="00632396"/>
    <w:rsid w:val="00632969"/>
    <w:rsid w:val="00635845"/>
    <w:rsid w:val="00635A59"/>
    <w:rsid w:val="00635F52"/>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A20"/>
    <w:rsid w:val="00656E05"/>
    <w:rsid w:val="006574C0"/>
    <w:rsid w:val="00657CA6"/>
    <w:rsid w:val="0066096B"/>
    <w:rsid w:val="00662B68"/>
    <w:rsid w:val="006634F4"/>
    <w:rsid w:val="00665E4D"/>
    <w:rsid w:val="00670303"/>
    <w:rsid w:val="00670492"/>
    <w:rsid w:val="00670C14"/>
    <w:rsid w:val="006721E0"/>
    <w:rsid w:val="00672522"/>
    <w:rsid w:val="00672AE4"/>
    <w:rsid w:val="00674D79"/>
    <w:rsid w:val="0067758B"/>
    <w:rsid w:val="0067783E"/>
    <w:rsid w:val="00677F5B"/>
    <w:rsid w:val="00680911"/>
    <w:rsid w:val="00682BF2"/>
    <w:rsid w:val="0068445E"/>
    <w:rsid w:val="00685FD7"/>
    <w:rsid w:val="00686C74"/>
    <w:rsid w:val="00690ED2"/>
    <w:rsid w:val="0069409B"/>
    <w:rsid w:val="00694F59"/>
    <w:rsid w:val="00695AFC"/>
    <w:rsid w:val="00696821"/>
    <w:rsid w:val="006A03B0"/>
    <w:rsid w:val="006A1A2B"/>
    <w:rsid w:val="006A416F"/>
    <w:rsid w:val="006A4A4B"/>
    <w:rsid w:val="006B49F7"/>
    <w:rsid w:val="006C0E94"/>
    <w:rsid w:val="006C1B70"/>
    <w:rsid w:val="006C2167"/>
    <w:rsid w:val="006C2491"/>
    <w:rsid w:val="006C27CB"/>
    <w:rsid w:val="006C63C4"/>
    <w:rsid w:val="006C65A9"/>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2BCF"/>
    <w:rsid w:val="006E3471"/>
    <w:rsid w:val="006E4AE6"/>
    <w:rsid w:val="006E67FB"/>
    <w:rsid w:val="006F69EC"/>
    <w:rsid w:val="006F6A2C"/>
    <w:rsid w:val="007052F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25"/>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475F9"/>
    <w:rsid w:val="00751E7C"/>
    <w:rsid w:val="0075287B"/>
    <w:rsid w:val="00753B28"/>
    <w:rsid w:val="00754EE9"/>
    <w:rsid w:val="00756E85"/>
    <w:rsid w:val="00756F81"/>
    <w:rsid w:val="00757D40"/>
    <w:rsid w:val="00761926"/>
    <w:rsid w:val="00762DB1"/>
    <w:rsid w:val="00764CB5"/>
    <w:rsid w:val="0076607C"/>
    <w:rsid w:val="007662B5"/>
    <w:rsid w:val="00766864"/>
    <w:rsid w:val="00767AA4"/>
    <w:rsid w:val="00774940"/>
    <w:rsid w:val="0077751F"/>
    <w:rsid w:val="007778A0"/>
    <w:rsid w:val="00780E0B"/>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DC5"/>
    <w:rsid w:val="00794B9A"/>
    <w:rsid w:val="00794F5A"/>
    <w:rsid w:val="00795823"/>
    <w:rsid w:val="00795E63"/>
    <w:rsid w:val="00796823"/>
    <w:rsid w:val="00797AA0"/>
    <w:rsid w:val="007A2E55"/>
    <w:rsid w:val="007A3137"/>
    <w:rsid w:val="007A32BA"/>
    <w:rsid w:val="007A4A53"/>
    <w:rsid w:val="007A52C1"/>
    <w:rsid w:val="007A7099"/>
    <w:rsid w:val="007A7E12"/>
    <w:rsid w:val="007B09F5"/>
    <w:rsid w:val="007B18D8"/>
    <w:rsid w:val="007B2202"/>
    <w:rsid w:val="007B3C9A"/>
    <w:rsid w:val="007C03C0"/>
    <w:rsid w:val="007C04F4"/>
    <w:rsid w:val="007C095F"/>
    <w:rsid w:val="007C17D5"/>
    <w:rsid w:val="007C25AC"/>
    <w:rsid w:val="007C2DD0"/>
    <w:rsid w:val="007C3935"/>
    <w:rsid w:val="007C563E"/>
    <w:rsid w:val="007C6EC7"/>
    <w:rsid w:val="007C7151"/>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08E8"/>
    <w:rsid w:val="00811105"/>
    <w:rsid w:val="00811D9D"/>
    <w:rsid w:val="00813245"/>
    <w:rsid w:val="00813383"/>
    <w:rsid w:val="00814BE5"/>
    <w:rsid w:val="00815AA2"/>
    <w:rsid w:val="00816A40"/>
    <w:rsid w:val="00820098"/>
    <w:rsid w:val="008215B0"/>
    <w:rsid w:val="00823B40"/>
    <w:rsid w:val="00824F42"/>
    <w:rsid w:val="00827D94"/>
    <w:rsid w:val="00830E1C"/>
    <w:rsid w:val="00830F8A"/>
    <w:rsid w:val="00831E12"/>
    <w:rsid w:val="008325C4"/>
    <w:rsid w:val="00832DF3"/>
    <w:rsid w:val="00833F51"/>
    <w:rsid w:val="008350FE"/>
    <w:rsid w:val="0083692D"/>
    <w:rsid w:val="00836BBC"/>
    <w:rsid w:val="00840DE0"/>
    <w:rsid w:val="008442A7"/>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5EDE"/>
    <w:rsid w:val="00866257"/>
    <w:rsid w:val="00866A0C"/>
    <w:rsid w:val="00871A3C"/>
    <w:rsid w:val="008732D6"/>
    <w:rsid w:val="00873444"/>
    <w:rsid w:val="00875EB1"/>
    <w:rsid w:val="008768CA"/>
    <w:rsid w:val="00877EF9"/>
    <w:rsid w:val="00880559"/>
    <w:rsid w:val="008818E2"/>
    <w:rsid w:val="00882533"/>
    <w:rsid w:val="008849F5"/>
    <w:rsid w:val="00890468"/>
    <w:rsid w:val="008904A2"/>
    <w:rsid w:val="00890882"/>
    <w:rsid w:val="00890D75"/>
    <w:rsid w:val="00892166"/>
    <w:rsid w:val="00893F0C"/>
    <w:rsid w:val="00895A0B"/>
    <w:rsid w:val="008962BD"/>
    <w:rsid w:val="00896CB6"/>
    <w:rsid w:val="008A439A"/>
    <w:rsid w:val="008A546A"/>
    <w:rsid w:val="008A7427"/>
    <w:rsid w:val="008B1067"/>
    <w:rsid w:val="008B5306"/>
    <w:rsid w:val="008B5F92"/>
    <w:rsid w:val="008B74AF"/>
    <w:rsid w:val="008C0236"/>
    <w:rsid w:val="008C285A"/>
    <w:rsid w:val="008C2E2A"/>
    <w:rsid w:val="008C3057"/>
    <w:rsid w:val="008C4C9A"/>
    <w:rsid w:val="008C4E29"/>
    <w:rsid w:val="008D0782"/>
    <w:rsid w:val="008D19D1"/>
    <w:rsid w:val="008D2E4D"/>
    <w:rsid w:val="008D3BA5"/>
    <w:rsid w:val="008D49D8"/>
    <w:rsid w:val="008D6363"/>
    <w:rsid w:val="008D67E0"/>
    <w:rsid w:val="008D6817"/>
    <w:rsid w:val="008D6D93"/>
    <w:rsid w:val="008E0988"/>
    <w:rsid w:val="008E173C"/>
    <w:rsid w:val="008E5A33"/>
    <w:rsid w:val="008E65D0"/>
    <w:rsid w:val="008F19F2"/>
    <w:rsid w:val="008F396F"/>
    <w:rsid w:val="008F3DCD"/>
    <w:rsid w:val="008F7665"/>
    <w:rsid w:val="0090129C"/>
    <w:rsid w:val="00901D5C"/>
    <w:rsid w:val="0090271F"/>
    <w:rsid w:val="009027DA"/>
    <w:rsid w:val="00902DB9"/>
    <w:rsid w:val="00902EC1"/>
    <w:rsid w:val="00903709"/>
    <w:rsid w:val="0090466A"/>
    <w:rsid w:val="00904FA9"/>
    <w:rsid w:val="00907FE0"/>
    <w:rsid w:val="0091035F"/>
    <w:rsid w:val="009148D1"/>
    <w:rsid w:val="00917174"/>
    <w:rsid w:val="009179C3"/>
    <w:rsid w:val="00920E7D"/>
    <w:rsid w:val="00921E6D"/>
    <w:rsid w:val="0092209D"/>
    <w:rsid w:val="00923655"/>
    <w:rsid w:val="0092610E"/>
    <w:rsid w:val="00931B75"/>
    <w:rsid w:val="009322D7"/>
    <w:rsid w:val="00933222"/>
    <w:rsid w:val="00933857"/>
    <w:rsid w:val="00934759"/>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B07CD"/>
    <w:rsid w:val="009B13FA"/>
    <w:rsid w:val="009B26F6"/>
    <w:rsid w:val="009B647D"/>
    <w:rsid w:val="009C19E9"/>
    <w:rsid w:val="009C1B67"/>
    <w:rsid w:val="009C4704"/>
    <w:rsid w:val="009D5A5D"/>
    <w:rsid w:val="009D5D5E"/>
    <w:rsid w:val="009D6675"/>
    <w:rsid w:val="009D7467"/>
    <w:rsid w:val="009D74A6"/>
    <w:rsid w:val="009D7A8A"/>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77C82"/>
    <w:rsid w:val="00A82346"/>
    <w:rsid w:val="00A84750"/>
    <w:rsid w:val="00A85727"/>
    <w:rsid w:val="00A86741"/>
    <w:rsid w:val="00A87E5B"/>
    <w:rsid w:val="00A90727"/>
    <w:rsid w:val="00A91596"/>
    <w:rsid w:val="00A94BC5"/>
    <w:rsid w:val="00A9671C"/>
    <w:rsid w:val="00AA037C"/>
    <w:rsid w:val="00AA1553"/>
    <w:rsid w:val="00AA16B0"/>
    <w:rsid w:val="00AA4665"/>
    <w:rsid w:val="00AA4DFA"/>
    <w:rsid w:val="00AA4F5A"/>
    <w:rsid w:val="00AA5A02"/>
    <w:rsid w:val="00AA5E71"/>
    <w:rsid w:val="00AA6D24"/>
    <w:rsid w:val="00AA74F4"/>
    <w:rsid w:val="00AA7D3E"/>
    <w:rsid w:val="00AB0AA7"/>
    <w:rsid w:val="00AB20DF"/>
    <w:rsid w:val="00AB2C03"/>
    <w:rsid w:val="00AB3DDD"/>
    <w:rsid w:val="00AB4454"/>
    <w:rsid w:val="00AB4BC0"/>
    <w:rsid w:val="00AC507F"/>
    <w:rsid w:val="00AC5458"/>
    <w:rsid w:val="00AC6887"/>
    <w:rsid w:val="00AC698A"/>
    <w:rsid w:val="00AC72F5"/>
    <w:rsid w:val="00AD1AE7"/>
    <w:rsid w:val="00AD3082"/>
    <w:rsid w:val="00AD6DB0"/>
    <w:rsid w:val="00AD71BA"/>
    <w:rsid w:val="00AD726F"/>
    <w:rsid w:val="00AE0117"/>
    <w:rsid w:val="00AE27D3"/>
    <w:rsid w:val="00AE4F6C"/>
    <w:rsid w:val="00AE525A"/>
    <w:rsid w:val="00AE58B7"/>
    <w:rsid w:val="00AE5A09"/>
    <w:rsid w:val="00AE5D2D"/>
    <w:rsid w:val="00AE7BD3"/>
    <w:rsid w:val="00AF1776"/>
    <w:rsid w:val="00AF213F"/>
    <w:rsid w:val="00AF29AA"/>
    <w:rsid w:val="00AF317D"/>
    <w:rsid w:val="00AF371E"/>
    <w:rsid w:val="00AF3C91"/>
    <w:rsid w:val="00AF649F"/>
    <w:rsid w:val="00AF7C5F"/>
    <w:rsid w:val="00B00767"/>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7303"/>
    <w:rsid w:val="00B277F1"/>
    <w:rsid w:val="00B27F7F"/>
    <w:rsid w:val="00B30F22"/>
    <w:rsid w:val="00B31F1F"/>
    <w:rsid w:val="00B36A90"/>
    <w:rsid w:val="00B37100"/>
    <w:rsid w:val="00B413F2"/>
    <w:rsid w:val="00B422C6"/>
    <w:rsid w:val="00B4636F"/>
    <w:rsid w:val="00B46391"/>
    <w:rsid w:val="00B46E85"/>
    <w:rsid w:val="00B47C49"/>
    <w:rsid w:val="00B47FD1"/>
    <w:rsid w:val="00B51105"/>
    <w:rsid w:val="00B516BB"/>
    <w:rsid w:val="00B53DBA"/>
    <w:rsid w:val="00B54EF8"/>
    <w:rsid w:val="00B55159"/>
    <w:rsid w:val="00B57DC1"/>
    <w:rsid w:val="00B606E6"/>
    <w:rsid w:val="00B61630"/>
    <w:rsid w:val="00B657DE"/>
    <w:rsid w:val="00B65AA8"/>
    <w:rsid w:val="00B66E42"/>
    <w:rsid w:val="00B67F3D"/>
    <w:rsid w:val="00B726D8"/>
    <w:rsid w:val="00B732A1"/>
    <w:rsid w:val="00B73674"/>
    <w:rsid w:val="00B7447A"/>
    <w:rsid w:val="00B7538C"/>
    <w:rsid w:val="00B75D96"/>
    <w:rsid w:val="00B76953"/>
    <w:rsid w:val="00B8075F"/>
    <w:rsid w:val="00B833EE"/>
    <w:rsid w:val="00B83588"/>
    <w:rsid w:val="00B83E3C"/>
    <w:rsid w:val="00B8403F"/>
    <w:rsid w:val="00B84B49"/>
    <w:rsid w:val="00B84D5C"/>
    <w:rsid w:val="00B84DB2"/>
    <w:rsid w:val="00B864B4"/>
    <w:rsid w:val="00B90745"/>
    <w:rsid w:val="00B955EF"/>
    <w:rsid w:val="00B9630B"/>
    <w:rsid w:val="00B964CA"/>
    <w:rsid w:val="00BA1188"/>
    <w:rsid w:val="00BA18CB"/>
    <w:rsid w:val="00BA1FC4"/>
    <w:rsid w:val="00BA2766"/>
    <w:rsid w:val="00BA555A"/>
    <w:rsid w:val="00BA55D1"/>
    <w:rsid w:val="00BB0270"/>
    <w:rsid w:val="00BB0FD7"/>
    <w:rsid w:val="00BB12BA"/>
    <w:rsid w:val="00BB4B07"/>
    <w:rsid w:val="00BB5F79"/>
    <w:rsid w:val="00BB7251"/>
    <w:rsid w:val="00BB7C42"/>
    <w:rsid w:val="00BC1BC3"/>
    <w:rsid w:val="00BC32E4"/>
    <w:rsid w:val="00BC3555"/>
    <w:rsid w:val="00BC45B8"/>
    <w:rsid w:val="00BC6BEC"/>
    <w:rsid w:val="00BD03E5"/>
    <w:rsid w:val="00BD2CE9"/>
    <w:rsid w:val="00BD31F0"/>
    <w:rsid w:val="00BD4DA7"/>
    <w:rsid w:val="00BD5730"/>
    <w:rsid w:val="00BD5D0A"/>
    <w:rsid w:val="00BE034C"/>
    <w:rsid w:val="00BE04DD"/>
    <w:rsid w:val="00BE07D3"/>
    <w:rsid w:val="00BE2716"/>
    <w:rsid w:val="00BE2A19"/>
    <w:rsid w:val="00BE621A"/>
    <w:rsid w:val="00BE627F"/>
    <w:rsid w:val="00BE69B6"/>
    <w:rsid w:val="00BF14F3"/>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493D"/>
    <w:rsid w:val="00C1670C"/>
    <w:rsid w:val="00C23637"/>
    <w:rsid w:val="00C23F9D"/>
    <w:rsid w:val="00C243E1"/>
    <w:rsid w:val="00C24650"/>
    <w:rsid w:val="00C25465"/>
    <w:rsid w:val="00C2648C"/>
    <w:rsid w:val="00C27511"/>
    <w:rsid w:val="00C30859"/>
    <w:rsid w:val="00C31B5A"/>
    <w:rsid w:val="00C33079"/>
    <w:rsid w:val="00C34F33"/>
    <w:rsid w:val="00C36F2F"/>
    <w:rsid w:val="00C37110"/>
    <w:rsid w:val="00C424AD"/>
    <w:rsid w:val="00C44A81"/>
    <w:rsid w:val="00C44D4E"/>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553E"/>
    <w:rsid w:val="00C65A07"/>
    <w:rsid w:val="00C66523"/>
    <w:rsid w:val="00C66D62"/>
    <w:rsid w:val="00C66D96"/>
    <w:rsid w:val="00C70DC4"/>
    <w:rsid w:val="00C75661"/>
    <w:rsid w:val="00C76031"/>
    <w:rsid w:val="00C760D4"/>
    <w:rsid w:val="00C76969"/>
    <w:rsid w:val="00C76A1A"/>
    <w:rsid w:val="00C76B6B"/>
    <w:rsid w:val="00C81331"/>
    <w:rsid w:val="00C824B1"/>
    <w:rsid w:val="00C83000"/>
    <w:rsid w:val="00C83895"/>
    <w:rsid w:val="00C83A13"/>
    <w:rsid w:val="00C844F8"/>
    <w:rsid w:val="00C845DD"/>
    <w:rsid w:val="00C84E9C"/>
    <w:rsid w:val="00C86F10"/>
    <w:rsid w:val="00C872A0"/>
    <w:rsid w:val="00C905B9"/>
    <w:rsid w:val="00C9068C"/>
    <w:rsid w:val="00C91F36"/>
    <w:rsid w:val="00C92967"/>
    <w:rsid w:val="00C94794"/>
    <w:rsid w:val="00C9488B"/>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2EF"/>
    <w:rsid w:val="00CC56CB"/>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13E"/>
    <w:rsid w:val="00D011CA"/>
    <w:rsid w:val="00D012D3"/>
    <w:rsid w:val="00D015BF"/>
    <w:rsid w:val="00D019CF"/>
    <w:rsid w:val="00D020FC"/>
    <w:rsid w:val="00D02D62"/>
    <w:rsid w:val="00D06188"/>
    <w:rsid w:val="00D1190E"/>
    <w:rsid w:val="00D12DDB"/>
    <w:rsid w:val="00D175D5"/>
    <w:rsid w:val="00D1769D"/>
    <w:rsid w:val="00D17ACC"/>
    <w:rsid w:val="00D17AF5"/>
    <w:rsid w:val="00D17F91"/>
    <w:rsid w:val="00D213CB"/>
    <w:rsid w:val="00D21D27"/>
    <w:rsid w:val="00D228B9"/>
    <w:rsid w:val="00D23040"/>
    <w:rsid w:val="00D24C0D"/>
    <w:rsid w:val="00D25449"/>
    <w:rsid w:val="00D26131"/>
    <w:rsid w:val="00D3010D"/>
    <w:rsid w:val="00D323B7"/>
    <w:rsid w:val="00D33BE3"/>
    <w:rsid w:val="00D340B7"/>
    <w:rsid w:val="00D35DEB"/>
    <w:rsid w:val="00D360C9"/>
    <w:rsid w:val="00D36C63"/>
    <w:rsid w:val="00D3792D"/>
    <w:rsid w:val="00D4005F"/>
    <w:rsid w:val="00D42DAC"/>
    <w:rsid w:val="00D44D37"/>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7CD1"/>
    <w:rsid w:val="00D7022F"/>
    <w:rsid w:val="00D727AF"/>
    <w:rsid w:val="00D727BD"/>
    <w:rsid w:val="00D72C64"/>
    <w:rsid w:val="00D738D6"/>
    <w:rsid w:val="00D73D9C"/>
    <w:rsid w:val="00D742C1"/>
    <w:rsid w:val="00D746B6"/>
    <w:rsid w:val="00D753F1"/>
    <w:rsid w:val="00D761CD"/>
    <w:rsid w:val="00D80795"/>
    <w:rsid w:val="00D81692"/>
    <w:rsid w:val="00D82934"/>
    <w:rsid w:val="00D832F1"/>
    <w:rsid w:val="00D843A6"/>
    <w:rsid w:val="00D854BE"/>
    <w:rsid w:val="00D87009"/>
    <w:rsid w:val="00D87E00"/>
    <w:rsid w:val="00D9021E"/>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247E"/>
    <w:rsid w:val="00DB3918"/>
    <w:rsid w:val="00DB41DD"/>
    <w:rsid w:val="00DB5FA7"/>
    <w:rsid w:val="00DB74A8"/>
    <w:rsid w:val="00DB7BE7"/>
    <w:rsid w:val="00DC309B"/>
    <w:rsid w:val="00DC3ED9"/>
    <w:rsid w:val="00DC45D6"/>
    <w:rsid w:val="00DC4DA2"/>
    <w:rsid w:val="00DC5261"/>
    <w:rsid w:val="00DC6A61"/>
    <w:rsid w:val="00DC731A"/>
    <w:rsid w:val="00DC75FA"/>
    <w:rsid w:val="00DD0D07"/>
    <w:rsid w:val="00DD3480"/>
    <w:rsid w:val="00DD5188"/>
    <w:rsid w:val="00DD64BE"/>
    <w:rsid w:val="00DE03D3"/>
    <w:rsid w:val="00DE1FDA"/>
    <w:rsid w:val="00DE22A8"/>
    <w:rsid w:val="00DE25D2"/>
    <w:rsid w:val="00DE2629"/>
    <w:rsid w:val="00DE417E"/>
    <w:rsid w:val="00DE491C"/>
    <w:rsid w:val="00DE4AE9"/>
    <w:rsid w:val="00DE537D"/>
    <w:rsid w:val="00DE57D7"/>
    <w:rsid w:val="00DF0600"/>
    <w:rsid w:val="00DF1831"/>
    <w:rsid w:val="00DF2071"/>
    <w:rsid w:val="00DF218F"/>
    <w:rsid w:val="00DF4645"/>
    <w:rsid w:val="00DF61E5"/>
    <w:rsid w:val="00DF7834"/>
    <w:rsid w:val="00E00D16"/>
    <w:rsid w:val="00E013E0"/>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2904"/>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B5E84"/>
    <w:rsid w:val="00EC230D"/>
    <w:rsid w:val="00EC23DE"/>
    <w:rsid w:val="00EC340C"/>
    <w:rsid w:val="00EC38FB"/>
    <w:rsid w:val="00EC4A25"/>
    <w:rsid w:val="00EC6C86"/>
    <w:rsid w:val="00EC7040"/>
    <w:rsid w:val="00EC7DFE"/>
    <w:rsid w:val="00ED0457"/>
    <w:rsid w:val="00ED112E"/>
    <w:rsid w:val="00ED1BAA"/>
    <w:rsid w:val="00ED40AC"/>
    <w:rsid w:val="00ED531A"/>
    <w:rsid w:val="00ED6022"/>
    <w:rsid w:val="00ED6506"/>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2520"/>
    <w:rsid w:val="00F12DE6"/>
    <w:rsid w:val="00F141DF"/>
    <w:rsid w:val="00F177BD"/>
    <w:rsid w:val="00F2026E"/>
    <w:rsid w:val="00F2210A"/>
    <w:rsid w:val="00F22241"/>
    <w:rsid w:val="00F23E2E"/>
    <w:rsid w:val="00F247F6"/>
    <w:rsid w:val="00F25696"/>
    <w:rsid w:val="00F26EB7"/>
    <w:rsid w:val="00F275A1"/>
    <w:rsid w:val="00F3009B"/>
    <w:rsid w:val="00F3039A"/>
    <w:rsid w:val="00F31372"/>
    <w:rsid w:val="00F341BE"/>
    <w:rsid w:val="00F3485F"/>
    <w:rsid w:val="00F35494"/>
    <w:rsid w:val="00F35A50"/>
    <w:rsid w:val="00F36CAF"/>
    <w:rsid w:val="00F36DFC"/>
    <w:rsid w:val="00F371EF"/>
    <w:rsid w:val="00F37678"/>
    <w:rsid w:val="00F37743"/>
    <w:rsid w:val="00F43661"/>
    <w:rsid w:val="00F44DF5"/>
    <w:rsid w:val="00F457AB"/>
    <w:rsid w:val="00F463C0"/>
    <w:rsid w:val="00F46B11"/>
    <w:rsid w:val="00F46F23"/>
    <w:rsid w:val="00F50BDD"/>
    <w:rsid w:val="00F521FD"/>
    <w:rsid w:val="00F52DE9"/>
    <w:rsid w:val="00F53579"/>
    <w:rsid w:val="00F54A3D"/>
    <w:rsid w:val="00F54CB0"/>
    <w:rsid w:val="00F571A8"/>
    <w:rsid w:val="00F572A3"/>
    <w:rsid w:val="00F579CD"/>
    <w:rsid w:val="00F6030E"/>
    <w:rsid w:val="00F633B4"/>
    <w:rsid w:val="00F653B8"/>
    <w:rsid w:val="00F661EE"/>
    <w:rsid w:val="00F701EF"/>
    <w:rsid w:val="00F70453"/>
    <w:rsid w:val="00F71B89"/>
    <w:rsid w:val="00F725D4"/>
    <w:rsid w:val="00F7353C"/>
    <w:rsid w:val="00F737E9"/>
    <w:rsid w:val="00F758D2"/>
    <w:rsid w:val="00F76F8F"/>
    <w:rsid w:val="00F77B35"/>
    <w:rsid w:val="00F77CC7"/>
    <w:rsid w:val="00F77EE4"/>
    <w:rsid w:val="00F83C4F"/>
    <w:rsid w:val="00F84D86"/>
    <w:rsid w:val="00F85A24"/>
    <w:rsid w:val="00F85A7F"/>
    <w:rsid w:val="00F872B0"/>
    <w:rsid w:val="00F901CC"/>
    <w:rsid w:val="00F9117B"/>
    <w:rsid w:val="00F915FF"/>
    <w:rsid w:val="00F941DF"/>
    <w:rsid w:val="00F942AB"/>
    <w:rsid w:val="00F96B2B"/>
    <w:rsid w:val="00F97087"/>
    <w:rsid w:val="00F975E4"/>
    <w:rsid w:val="00F97A40"/>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71B"/>
    <w:rsid w:val="00FC4291"/>
    <w:rsid w:val="00FC67FF"/>
    <w:rsid w:val="00FC745F"/>
    <w:rsid w:val="00FC7E40"/>
    <w:rsid w:val="00FD021D"/>
    <w:rsid w:val="00FD0A57"/>
    <w:rsid w:val="00FD1E68"/>
    <w:rsid w:val="00FD2315"/>
    <w:rsid w:val="00FD3F9C"/>
    <w:rsid w:val="00FD6E18"/>
    <w:rsid w:val="00FD6EDB"/>
    <w:rsid w:val="00FD764C"/>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315"/>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18625371">
      <w:bodyDiv w:val="1"/>
      <w:marLeft w:val="0"/>
      <w:marRight w:val="0"/>
      <w:marTop w:val="0"/>
      <w:marBottom w:val="0"/>
      <w:divBdr>
        <w:top w:val="none" w:sz="0" w:space="0" w:color="auto"/>
        <w:left w:val="none" w:sz="0" w:space="0" w:color="auto"/>
        <w:bottom w:val="none" w:sz="0" w:space="0" w:color="auto"/>
        <w:right w:val="none" w:sz="0" w:space="0" w:color="auto"/>
      </w:divBdr>
      <w:divsChild>
        <w:div w:id="580261906">
          <w:marLeft w:val="0"/>
          <w:marRight w:val="0"/>
          <w:marTop w:val="0"/>
          <w:marBottom w:val="0"/>
          <w:divBdr>
            <w:top w:val="single" w:sz="2" w:space="0" w:color="E5E7EB"/>
            <w:left w:val="single" w:sz="2" w:space="0" w:color="E5E7EB"/>
            <w:bottom w:val="single" w:sz="2" w:space="0" w:color="E5E7EB"/>
            <w:right w:val="single" w:sz="2" w:space="0" w:color="E5E7EB"/>
          </w:divBdr>
          <w:divsChild>
            <w:div w:id="1410928879">
              <w:marLeft w:val="0"/>
              <w:marRight w:val="0"/>
              <w:marTop w:val="100"/>
              <w:marBottom w:val="100"/>
              <w:divBdr>
                <w:top w:val="single" w:sz="2" w:space="0" w:color="E5E7EB"/>
                <w:left w:val="single" w:sz="2" w:space="0" w:color="E5E7EB"/>
                <w:bottom w:val="single" w:sz="2" w:space="0" w:color="E5E7EB"/>
                <w:right w:val="single" w:sz="2" w:space="0" w:color="E5E7EB"/>
              </w:divBdr>
              <w:divsChild>
                <w:div w:id="756950177">
                  <w:marLeft w:val="0"/>
                  <w:marRight w:val="0"/>
                  <w:marTop w:val="0"/>
                  <w:marBottom w:val="0"/>
                  <w:divBdr>
                    <w:top w:val="single" w:sz="2" w:space="0" w:color="E5E7EB"/>
                    <w:left w:val="single" w:sz="2" w:space="0" w:color="E5E7EB"/>
                    <w:bottom w:val="single" w:sz="2" w:space="0" w:color="E5E7EB"/>
                    <w:right w:val="single" w:sz="2" w:space="0" w:color="E5E7EB"/>
                  </w:divBdr>
                  <w:divsChild>
                    <w:div w:id="789396615">
                      <w:marLeft w:val="0"/>
                      <w:marRight w:val="0"/>
                      <w:marTop w:val="0"/>
                      <w:marBottom w:val="0"/>
                      <w:divBdr>
                        <w:top w:val="single" w:sz="2" w:space="0" w:color="E5E7EB"/>
                        <w:left w:val="single" w:sz="2" w:space="0" w:color="E5E7EB"/>
                        <w:bottom w:val="single" w:sz="2" w:space="0" w:color="E5E7EB"/>
                        <w:right w:val="single" w:sz="2" w:space="0" w:color="E5E7EB"/>
                      </w:divBdr>
                      <w:divsChild>
                        <w:div w:id="7765631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0918800">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1843282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51975097">
      <w:bodyDiv w:val="1"/>
      <w:marLeft w:val="0"/>
      <w:marRight w:val="0"/>
      <w:marTop w:val="0"/>
      <w:marBottom w:val="0"/>
      <w:divBdr>
        <w:top w:val="none" w:sz="0" w:space="0" w:color="auto"/>
        <w:left w:val="none" w:sz="0" w:space="0" w:color="auto"/>
        <w:bottom w:val="none" w:sz="0" w:space="0" w:color="auto"/>
        <w:right w:val="none" w:sz="0" w:space="0" w:color="auto"/>
      </w:divBdr>
      <w:divsChild>
        <w:div w:id="590432823">
          <w:marLeft w:val="0"/>
          <w:marRight w:val="0"/>
          <w:marTop w:val="0"/>
          <w:marBottom w:val="0"/>
          <w:divBdr>
            <w:top w:val="single" w:sz="2" w:space="0" w:color="E5E7EB"/>
            <w:left w:val="single" w:sz="2" w:space="0" w:color="E5E7EB"/>
            <w:bottom w:val="single" w:sz="2" w:space="0" w:color="E5E7EB"/>
            <w:right w:val="single" w:sz="2" w:space="0" w:color="E5E7EB"/>
          </w:divBdr>
          <w:divsChild>
            <w:div w:id="1115636925">
              <w:marLeft w:val="0"/>
              <w:marRight w:val="0"/>
              <w:marTop w:val="100"/>
              <w:marBottom w:val="100"/>
              <w:divBdr>
                <w:top w:val="single" w:sz="2" w:space="0" w:color="E5E7EB"/>
                <w:left w:val="single" w:sz="2" w:space="0" w:color="E5E7EB"/>
                <w:bottom w:val="single" w:sz="2" w:space="0" w:color="E5E7EB"/>
                <w:right w:val="single" w:sz="2" w:space="0" w:color="E5E7EB"/>
              </w:divBdr>
              <w:divsChild>
                <w:div w:id="191460855">
                  <w:marLeft w:val="0"/>
                  <w:marRight w:val="0"/>
                  <w:marTop w:val="0"/>
                  <w:marBottom w:val="0"/>
                  <w:divBdr>
                    <w:top w:val="single" w:sz="2" w:space="0" w:color="E5E7EB"/>
                    <w:left w:val="single" w:sz="2" w:space="0" w:color="E5E7EB"/>
                    <w:bottom w:val="single" w:sz="2" w:space="0" w:color="E5E7EB"/>
                    <w:right w:val="single" w:sz="2" w:space="0" w:color="E5E7EB"/>
                  </w:divBdr>
                  <w:divsChild>
                    <w:div w:id="1382172701">
                      <w:marLeft w:val="0"/>
                      <w:marRight w:val="0"/>
                      <w:marTop w:val="0"/>
                      <w:marBottom w:val="0"/>
                      <w:divBdr>
                        <w:top w:val="single" w:sz="2" w:space="0" w:color="E5E7EB"/>
                        <w:left w:val="single" w:sz="2" w:space="0" w:color="E5E7EB"/>
                        <w:bottom w:val="single" w:sz="2" w:space="0" w:color="E5E7EB"/>
                        <w:right w:val="single" w:sz="2" w:space="0" w:color="E5E7EB"/>
                      </w:divBdr>
                      <w:divsChild>
                        <w:div w:id="1494494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68626347">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8930092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1591311">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9652969">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05902544">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24203125">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49331866">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49"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9F1460-A937-4367-BCEA-3E268EC346D0}">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2025-02-07T04:02:00Z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